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rPr>
          <w:rFonts w:hint="eastAsia" w:ascii="宋体" w:hAnsi="宋体" w:cs="宋体"/>
          <w:b/>
          <w:bCs/>
          <w:sz w:val="48"/>
          <w:szCs w:val="48"/>
        </w:rPr>
      </w:pPr>
    </w:p>
    <w:p>
      <w:pPr>
        <w:ind w:firstLine="963" w:firstLineChars="200"/>
        <w:rPr>
          <w:rFonts w:hint="eastAsia" w:ascii="宋体" w:hAnsi="宋体" w:cs="宋体"/>
          <w:b/>
          <w:sz w:val="24"/>
        </w:rPr>
      </w:pPr>
      <w:r>
        <w:rPr>
          <w:rFonts w:hint="eastAsia" w:ascii="宋体" w:hAnsi="宋体" w:cs="宋体"/>
          <w:b/>
          <w:bCs/>
          <w:sz w:val="48"/>
          <w:szCs w:val="48"/>
        </w:rPr>
        <w:t xml:space="preserve">  </w:t>
      </w:r>
    </w:p>
    <w:p>
      <w:pPr>
        <w:jc w:val="center"/>
        <w:rPr>
          <w:rFonts w:hint="eastAsia" w:ascii="宋体" w:hAnsi="宋体" w:cs="宋体"/>
          <w:b/>
          <w:sz w:val="24"/>
        </w:rPr>
      </w:pPr>
    </w:p>
    <w:p>
      <w:pP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pStyle w:val="12"/>
        <w:tabs>
          <w:tab w:val="left" w:pos="1440"/>
          <w:tab w:val="left" w:pos="1620"/>
        </w:tabs>
        <w:ind w:left="0" w:leftChars="0" w:firstLine="0" w:firstLineChars="0"/>
        <w:jc w:val="center"/>
        <w:outlineLvl w:val="0"/>
        <w:rPr>
          <w:rFonts w:hint="eastAsia" w:hAnsi="宋体" w:cs="宋体"/>
          <w:b/>
          <w:spacing w:val="300"/>
          <w:sz w:val="84"/>
          <w:szCs w:val="84"/>
        </w:rPr>
      </w:pPr>
      <w:r>
        <w:rPr>
          <w:rFonts w:hint="eastAsia" w:hAnsi="宋体" w:cs="宋体"/>
          <w:b/>
          <w:sz w:val="84"/>
        </w:rPr>
        <w:t>竞争性磋商文件</w:t>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26"/>
        <w:jc w:val="center"/>
        <w:rPr>
          <w:rFonts w:hint="eastAsia" w:ascii="宋体" w:hAnsi="宋体" w:cs="宋体"/>
        </w:rPr>
      </w:pPr>
    </w:p>
    <w:p>
      <w:pPr>
        <w:pStyle w:val="26"/>
        <w:jc w:val="center"/>
        <w:rPr>
          <w:rFonts w:hint="eastAsia" w:ascii="宋体" w:hAnsi="宋体" w:cs="宋体"/>
        </w:rPr>
      </w:pPr>
    </w:p>
    <w:p>
      <w:pPr>
        <w:ind w:firstLine="602" w:firstLineChars="200"/>
        <w:jc w:val="center"/>
        <w:rPr>
          <w:rFonts w:hint="eastAsia" w:ascii="宋体" w:hAnsi="宋体" w:cs="宋体"/>
          <w:b/>
          <w:sz w:val="30"/>
          <w:szCs w:val="30"/>
        </w:rPr>
      </w:pPr>
    </w:p>
    <w:p>
      <w:pPr>
        <w:spacing w:line="360" w:lineRule="auto"/>
        <w:jc w:val="center"/>
        <w:rPr>
          <w:rFonts w:hint="eastAsia" w:ascii="宋体" w:hAnsi="宋体" w:cs="宋体"/>
          <w:b/>
          <w:sz w:val="30"/>
          <w:szCs w:val="30"/>
        </w:rPr>
      </w:pPr>
      <w:bookmarkStart w:id="0" w:name="_Toc380479083"/>
      <w:bookmarkStart w:id="1" w:name="_Toc511641657"/>
      <w:bookmarkStart w:id="2" w:name="_Toc470496182"/>
      <w:r>
        <w:rPr>
          <w:rFonts w:hint="eastAsia" w:ascii="宋体" w:hAnsi="宋体" w:cs="宋体"/>
          <w:b/>
          <w:sz w:val="30"/>
          <w:szCs w:val="30"/>
        </w:rPr>
        <w:t xml:space="preserve">项目名称: </w:t>
      </w:r>
      <w:r>
        <w:rPr>
          <w:rFonts w:hint="eastAsia" w:ascii="宋体" w:hAnsi="宋体" w:cs="宋体"/>
          <w:b/>
          <w:sz w:val="30"/>
          <w:szCs w:val="30"/>
        </w:rPr>
        <w:fldChar w:fldCharType="begin"/>
      </w:r>
      <w:r>
        <w:rPr>
          <w:rFonts w:hint="eastAsia" w:ascii="宋体" w:hAnsi="宋体" w:cs="宋体"/>
          <w:b/>
          <w:sz w:val="30"/>
          <w:szCs w:val="30"/>
        </w:rPr>
        <w:instrText xml:space="preserve"> HYPERLINK "https://zzgj.365trade.com.cn/xm/zbxmgl/wdxm/listwdzb:ckxmlcevent/202204080902080236568640129/1/10?currentPage_=1&amp;fzrFlag=-1&amp;gnid=ff80808154fb5f8a0154fb6bc3060017&amp;lxjssj=20220408&amp;lxqssj=20210408&amp;lxsjRadio=1&amp;t:ac=$N/$N&amp;ztFlag=100" </w:instrText>
      </w:r>
      <w:r>
        <w:rPr>
          <w:rFonts w:hint="eastAsia" w:ascii="宋体" w:hAnsi="宋体" w:cs="宋体"/>
          <w:b/>
          <w:sz w:val="30"/>
          <w:szCs w:val="30"/>
        </w:rPr>
        <w:fldChar w:fldCharType="separate"/>
      </w:r>
      <w:r>
        <w:rPr>
          <w:rFonts w:hint="eastAsia" w:ascii="宋体" w:hAnsi="宋体" w:cs="宋体"/>
          <w:b/>
          <w:sz w:val="30"/>
          <w:szCs w:val="30"/>
          <w:lang w:val="en-US" w:eastAsia="zh-CN"/>
        </w:rPr>
        <w:t xml:space="preserve">电信市场和服务依法行政监管能力提升支撑项目        </w:t>
      </w:r>
      <w:r>
        <w:rPr>
          <w:rFonts w:hint="eastAsia" w:ascii="宋体" w:hAnsi="宋体" w:cs="宋体"/>
          <w:b/>
          <w:sz w:val="30"/>
          <w:szCs w:val="30"/>
        </w:rPr>
        <w:fldChar w:fldCharType="end"/>
      </w:r>
    </w:p>
    <w:p>
      <w:pPr>
        <w:spacing w:line="240" w:lineRule="atLeast"/>
        <w:ind w:left="1080" w:leftChars="257" w:hanging="540"/>
        <w:rPr>
          <w:rFonts w:hint="eastAsia" w:ascii="宋体" w:hAnsi="宋体" w:cs="宋体"/>
          <w:b/>
          <w:sz w:val="32"/>
          <w:u w:val="single"/>
        </w:rPr>
      </w:pPr>
    </w:p>
    <w:p>
      <w:pPr>
        <w:pStyle w:val="2"/>
        <w:rPr>
          <w:rFonts w:hint="eastAsia"/>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pStyle w:val="26"/>
        <w:rPr>
          <w:rFonts w:hint="eastAsia" w:ascii="宋体" w:hAnsi="宋体" w:cs="宋体"/>
          <w:b/>
          <w:sz w:val="32"/>
          <w:u w:val="single"/>
        </w:rPr>
      </w:pPr>
    </w:p>
    <w:p>
      <w:pPr>
        <w:pStyle w:val="26"/>
        <w:rPr>
          <w:rFonts w:hint="eastAsia" w:ascii="宋体" w:hAnsi="宋体" w:cs="宋体"/>
          <w:b/>
          <w:sz w:val="32"/>
          <w:u w:val="single"/>
        </w:rPr>
      </w:pPr>
    </w:p>
    <w:p>
      <w:pPr>
        <w:spacing w:line="360" w:lineRule="auto"/>
        <w:ind w:firstLine="1807" w:firstLineChars="600"/>
        <w:jc w:val="both"/>
        <w:rPr>
          <w:rFonts w:hint="eastAsia" w:ascii="宋体" w:hAnsi="宋体" w:cs="宋体"/>
          <w:b/>
          <w:sz w:val="30"/>
          <w:szCs w:val="30"/>
          <w:u w:val="single"/>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z w:val="30"/>
          <w:szCs w:val="30"/>
          <w:u w:val="single"/>
          <w:lang w:eastAsia="zh-CN"/>
        </w:rPr>
        <w:t>内蒙古自治区通信管理局</w:t>
      </w:r>
    </w:p>
    <w:p>
      <w:pPr>
        <w:spacing w:line="360" w:lineRule="auto"/>
        <w:ind w:firstLine="1807" w:firstLineChars="600"/>
        <w:jc w:val="both"/>
        <w:rPr>
          <w:rFonts w:hint="default" w:ascii="宋体" w:hAnsi="宋体" w:cs="宋体"/>
          <w:b/>
          <w:sz w:val="52"/>
          <w:lang w:val="en"/>
        </w:rPr>
      </w:pPr>
      <w:r>
        <w:rPr>
          <w:rFonts w:hint="eastAsia" w:ascii="宋体" w:hAnsi="宋体" w:cs="宋体"/>
          <w:b/>
          <w:sz w:val="30"/>
          <w:szCs w:val="30"/>
        </w:rPr>
        <w:t>日        期：</w:t>
      </w:r>
      <w:r>
        <w:rPr>
          <w:rFonts w:hint="eastAsia" w:ascii="宋体" w:hAnsi="宋体" w:cs="宋体"/>
          <w:b/>
          <w:sz w:val="30"/>
          <w:szCs w:val="30"/>
          <w:u w:val="single"/>
        </w:rPr>
        <w:t xml:space="preserve">     202</w:t>
      </w:r>
      <w:r>
        <w:rPr>
          <w:rFonts w:hint="default" w:ascii="宋体" w:hAnsi="宋体" w:cs="宋体"/>
          <w:b/>
          <w:sz w:val="30"/>
          <w:szCs w:val="30"/>
          <w:u w:val="single"/>
          <w:lang w:val="en" w:eastAsia="zh-CN"/>
        </w:rPr>
        <w:t>5</w:t>
      </w:r>
      <w:r>
        <w:rPr>
          <w:rFonts w:hint="eastAsia" w:ascii="宋体" w:hAnsi="宋体" w:cs="宋体"/>
          <w:b/>
          <w:sz w:val="30"/>
          <w:szCs w:val="30"/>
          <w:u w:val="single"/>
        </w:rPr>
        <w:t>年</w:t>
      </w:r>
      <w:r>
        <w:rPr>
          <w:rFonts w:hint="default" w:ascii="宋体" w:hAnsi="宋体" w:cs="宋体"/>
          <w:b/>
          <w:sz w:val="30"/>
          <w:szCs w:val="30"/>
          <w:u w:val="single"/>
          <w:lang w:val="en" w:eastAsia="zh-CN"/>
        </w:rPr>
        <w:t>10</w:t>
      </w:r>
      <w:r>
        <w:rPr>
          <w:rFonts w:hint="eastAsia" w:ascii="宋体" w:hAnsi="宋体" w:cs="宋体"/>
          <w:b/>
          <w:sz w:val="30"/>
          <w:szCs w:val="30"/>
          <w:u w:val="single"/>
        </w:rPr>
        <w:t>月</w:t>
      </w:r>
      <w:r>
        <w:rPr>
          <w:rFonts w:hint="default" w:ascii="宋体" w:hAnsi="宋体" w:cs="宋体"/>
          <w:b/>
          <w:sz w:val="30"/>
          <w:szCs w:val="30"/>
          <w:u w:val="single"/>
          <w:lang w:val="en"/>
        </w:rPr>
        <w:t xml:space="preserve">      </w:t>
      </w:r>
    </w:p>
    <w:p>
      <w:pPr>
        <w:pStyle w:val="3"/>
        <w:numPr>
          <w:ilvl w:val="0"/>
          <w:numId w:val="0"/>
        </w:numPr>
        <w:spacing w:before="0" w:after="0" w:line="480" w:lineRule="exact"/>
        <w:ind w:left="432"/>
        <w:rPr>
          <w:rFonts w:hint="eastAsia" w:ascii="宋体" w:hAnsi="宋体" w:cs="宋体"/>
        </w:rPr>
        <w:sectPr>
          <w:pgSz w:w="11920" w:h="16840"/>
          <w:pgMar w:top="1440" w:right="1134" w:bottom="1440" w:left="1134" w:header="720" w:footer="720" w:gutter="0"/>
          <w:pgNumType w:fmt="decimal"/>
          <w:cols w:space="720" w:num="1"/>
        </w:sectPr>
      </w:pPr>
    </w:p>
    <w:p>
      <w:pPr>
        <w:pStyle w:val="3"/>
        <w:numPr>
          <w:ilvl w:val="0"/>
          <w:numId w:val="0"/>
        </w:numPr>
        <w:spacing w:before="0" w:after="0" w:line="480" w:lineRule="exact"/>
        <w:ind w:left="432" w:firstLine="0" w:firstLineChars="0"/>
        <w:rPr>
          <w:rFonts w:hint="eastAsia" w:ascii="宋体" w:hAnsi="宋体" w:cs="宋体"/>
        </w:rPr>
      </w:pPr>
      <w:r>
        <w:rPr>
          <w:rFonts w:hint="eastAsia" w:ascii="宋体" w:hAnsi="宋体" w:cs="宋体"/>
        </w:rPr>
        <w:t>目  录</w:t>
      </w:r>
      <w:bookmarkEnd w:id="0"/>
    </w:p>
    <w:p>
      <w:pPr>
        <w:rPr>
          <w:rFonts w:hint="eastAsia" w:ascii="宋体" w:hAnsi="宋体" w:cs="宋体"/>
          <w:lang w:val="zh-CN"/>
        </w:rPr>
      </w:pPr>
    </w:p>
    <w:p>
      <w:pPr>
        <w:pStyle w:val="24"/>
        <w:ind w:firstLine="0" w:firstLineChars="0"/>
        <w:rPr>
          <w:rFonts w:hint="eastAsia" w:ascii="宋体" w:hAnsi="宋体" w:cs="宋体"/>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p>
    <w:p>
      <w:pPr>
        <w:pStyle w:val="24"/>
        <w:tabs>
          <w:tab w:val="right" w:leader="dot" w:pos="8222"/>
          <w:tab w:val="clear" w:pos="7655"/>
        </w:tabs>
        <w:ind w:left="0" w:firstLine="0" w:firstLineChars="0"/>
        <w:jc w:val="center"/>
        <w:rPr>
          <w:rFonts w:hint="eastAsia" w:ascii="宋体" w:hAnsi="宋体" w:cs="宋体"/>
          <w:sz w:val="21"/>
          <w:szCs w:val="22"/>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"_Toc380479084"</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 xml:space="preserve">第一章  </w:t>
      </w:r>
      <w:r>
        <w:rPr>
          <w:rFonts w:hint="eastAsia" w:ascii="宋体" w:hAnsi="宋体" w:cs="宋体"/>
        </w:rPr>
        <w:t>竞争性磋商采购公告</w:t>
      </w:r>
      <w:r>
        <w:rPr>
          <w:rFonts w:hint="eastAsia" w:ascii="宋体" w:hAnsi="宋体" w:cs="宋体"/>
        </w:rPr>
        <w:tab/>
      </w:r>
      <w:r>
        <w:rPr>
          <w:rFonts w:hint="eastAsia" w:ascii="宋体" w:hAnsi="宋体" w:cs="宋体"/>
          <w:lang w:val="en-US" w:eastAsia="zh-CN"/>
        </w:rPr>
        <w:t>1</w:t>
      </w:r>
      <w:r>
        <w:rPr>
          <w:rFonts w:hint="eastAsia" w:ascii="宋体" w:hAnsi="宋体" w:cs="宋体"/>
        </w:rPr>
        <w:fldChar w:fldCharType="end"/>
      </w:r>
    </w:p>
    <w:p>
      <w:pPr>
        <w:pStyle w:val="24"/>
        <w:tabs>
          <w:tab w:val="right" w:leader="dot" w:pos="8222"/>
          <w:tab w:val="clear" w:pos="7655"/>
        </w:tabs>
        <w:ind w:left="0" w:firstLine="0" w:firstLineChars="0"/>
        <w:jc w:val="center"/>
        <w:rPr>
          <w:rFonts w:hint="eastAsia"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"_Toc380479085"</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第二章  磋商供应商须知</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w:t>
      </w:r>
    </w:p>
    <w:p>
      <w:pPr>
        <w:pStyle w:val="24"/>
        <w:tabs>
          <w:tab w:val="right" w:leader="dot" w:pos="8222"/>
          <w:tab w:val="clear" w:pos="7655"/>
        </w:tabs>
        <w:ind w:left="0" w:firstLine="0" w:firstLineChars="0"/>
        <w:jc w:val="center"/>
        <w:rPr>
          <w:rFonts w:hint="default" w:ascii="宋体" w:hAnsi="宋体" w:eastAsia="宋体" w:cs="宋体"/>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"_Toc380479120"</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第三章  评标原则和方法</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16</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第四章  采购需求</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22</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第五章  合同条款</w:t>
      </w:r>
      <w:bookmarkStart w:id="3" w:name="_Hlt380479163"/>
      <w:bookmarkStart w:id="4" w:name="_Hlt380479164"/>
      <w:r>
        <w:rPr>
          <w:rFonts w:hint="eastAsia" w:ascii="宋体" w:hAnsi="宋体" w:cs="宋体"/>
        </w:rPr>
        <w:tab/>
      </w:r>
      <w:bookmarkEnd w:id="3"/>
      <w:bookmarkEnd w:id="4"/>
      <w:r>
        <w:rPr>
          <w:rFonts w:hint="eastAsia" w:ascii="宋体" w:hAnsi="宋体" w:cs="宋体"/>
        </w:rPr>
        <w:fldChar w:fldCharType="end"/>
      </w:r>
      <w:r>
        <w:rPr>
          <w:rFonts w:hint="eastAsia" w:ascii="宋体" w:hAnsi="宋体" w:cs="宋体"/>
          <w:lang w:val="en-US" w:eastAsia="zh-CN"/>
        </w:rPr>
        <w:t>23</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"_Toc380479151"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第六章  磋商响应文件格式</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37</w:t>
      </w:r>
    </w:p>
    <w:p>
      <w:pPr>
        <w:ind w:firstLine="0" w:firstLineChars="0"/>
        <w:rPr>
          <w:rFonts w:hint="eastAsia" w:ascii="宋体" w:hAnsi="宋体" w:cs="宋体"/>
        </w:rPr>
      </w:pPr>
      <w:r>
        <w:rPr>
          <w:rFonts w:hint="eastAsia" w:ascii="宋体" w:hAnsi="宋体" w:cs="宋体"/>
          <w:b/>
          <w:bCs/>
          <w:lang w:val="zh-CN"/>
        </w:rPr>
        <w:fldChar w:fldCharType="end"/>
      </w:r>
    </w:p>
    <w:p>
      <w:pPr>
        <w:pStyle w:val="3"/>
        <w:numPr>
          <w:ilvl w:val="0"/>
          <w:numId w:val="0"/>
        </w:numPr>
        <w:spacing w:before="0" w:after="0" w:line="480" w:lineRule="exact"/>
        <w:ind w:left="432" w:hanging="432"/>
        <w:rPr>
          <w:rFonts w:hint="eastAsia" w:ascii="宋体" w:hAnsi="宋体" w:cs="宋体"/>
        </w:rPr>
        <w:sectPr>
          <w:footerReference r:id="rId3" w:type="default"/>
          <w:pgSz w:w="11920" w:h="16840"/>
          <w:pgMar w:top="1440" w:right="1134" w:bottom="1440" w:left="1134" w:header="720" w:footer="720" w:gutter="0"/>
          <w:pgNumType w:fmt="decimal" w:start="1"/>
          <w:cols w:space="720" w:num="1"/>
        </w:sectPr>
      </w:pPr>
      <w:bookmarkStart w:id="5" w:name="_Toc380479084"/>
    </w:p>
    <w:p>
      <w:pPr>
        <w:pStyle w:val="3"/>
        <w:numPr>
          <w:ilvl w:val="0"/>
          <w:numId w:val="0"/>
        </w:numPr>
        <w:spacing w:before="0" w:after="0" w:line="480" w:lineRule="exact"/>
        <w:jc w:val="center"/>
        <w:rPr>
          <w:rFonts w:hint="eastAsia" w:ascii="宋体" w:hAnsi="宋体" w:cs="宋体"/>
        </w:rPr>
      </w:pPr>
      <w:r>
        <w:rPr>
          <w:rFonts w:hint="eastAsia" w:ascii="宋体" w:hAnsi="宋体" w:cs="宋体"/>
        </w:rPr>
        <w:t xml:space="preserve">第一章  </w:t>
      </w:r>
      <w:bookmarkEnd w:id="1"/>
      <w:bookmarkEnd w:id="2"/>
      <w:bookmarkEnd w:id="5"/>
      <w:r>
        <w:rPr>
          <w:rFonts w:hint="eastAsia" w:ascii="宋体" w:hAnsi="宋体" w:cs="宋体"/>
        </w:rPr>
        <w:t>竞争性磋商采购公告</w:t>
      </w:r>
    </w:p>
    <w:p>
      <w:pPr>
        <w:pStyle w:val="23"/>
        <w:pBdr>
          <w:bottom w:val="none" w:color="auto" w:sz="0" w:space="0"/>
        </w:pBdr>
        <w:snapToGrid/>
        <w:spacing w:line="480" w:lineRule="exact"/>
        <w:jc w:val="both"/>
        <w:rPr>
          <w:rFonts w:hint="eastAsia" w:ascii="宋体" w:hAnsi="宋体" w:cs="宋体"/>
          <w:sz w:val="28"/>
        </w:rPr>
      </w:pP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lang w:eastAsia="zh-CN"/>
        </w:rPr>
        <w:t>现</w:t>
      </w:r>
      <w:r>
        <w:rPr>
          <w:rFonts w:hint="eastAsia" w:ascii="宋体" w:hAnsi="宋体" w:cs="宋体"/>
          <w:sz w:val="24"/>
          <w:szCs w:val="24"/>
          <w:highlight w:val="none"/>
        </w:rPr>
        <w:t>按照</w:t>
      </w:r>
      <w:r>
        <w:rPr>
          <w:rFonts w:hint="eastAsia" w:ascii="宋体" w:hAnsi="宋体" w:cs="宋体"/>
          <w:b/>
          <w:sz w:val="24"/>
          <w:szCs w:val="24"/>
          <w:highlight w:val="none"/>
        </w:rPr>
        <w:t>竞争性磋商</w:t>
      </w:r>
      <w:r>
        <w:rPr>
          <w:rFonts w:hint="eastAsia" w:ascii="宋体" w:hAnsi="宋体" w:cs="宋体"/>
          <w:sz w:val="24"/>
          <w:szCs w:val="24"/>
          <w:highlight w:val="none"/>
        </w:rPr>
        <w:t>方式进行采购，邀请合格的供应商参加竞争性磋商。</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1.项目信息：</w:t>
      </w:r>
    </w:p>
    <w:p>
      <w:pPr>
        <w:pStyle w:val="23"/>
        <w:pBdr>
          <w:bottom w:val="none" w:color="auto" w:sz="0" w:space="0"/>
        </w:pBdr>
        <w:spacing w:line="360" w:lineRule="auto"/>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rPr>
        <w:t>项目名称：电信市场和服务依法行政监管能力提升支撑</w:t>
      </w:r>
      <w:r>
        <w:rPr>
          <w:rFonts w:hint="eastAsia" w:ascii="宋体" w:hAnsi="宋体" w:cs="宋体"/>
          <w:sz w:val="24"/>
          <w:szCs w:val="24"/>
          <w:highlight w:val="none"/>
          <w:lang w:eastAsia="zh-CN"/>
        </w:rPr>
        <w:t xml:space="preserve"> </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项目预算</w:t>
      </w:r>
      <w:r>
        <w:rPr>
          <w:rFonts w:hint="eastAsia" w:ascii="宋体" w:hAnsi="宋体" w:eastAsia="宋体" w:cs="宋体"/>
          <w:sz w:val="24"/>
          <w:szCs w:val="24"/>
          <w:highlight w:val="none"/>
        </w:rPr>
        <w:t>金额：人民币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rPr>
        <w:t>万元</w:t>
      </w:r>
    </w:p>
    <w:p>
      <w:pPr>
        <w:widowControl/>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2. 磋商具体要求如下表：</w:t>
      </w:r>
    </w:p>
    <w:tbl>
      <w:tblPr>
        <w:tblStyle w:val="30"/>
        <w:tblW w:w="99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789"/>
        <w:gridCol w:w="890"/>
        <w:gridCol w:w="1140"/>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序号</w:t>
            </w:r>
          </w:p>
        </w:tc>
        <w:tc>
          <w:tcPr>
            <w:tcW w:w="2789"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采购内容</w:t>
            </w:r>
          </w:p>
        </w:tc>
        <w:tc>
          <w:tcPr>
            <w:tcW w:w="89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数量</w:t>
            </w:r>
          </w:p>
        </w:tc>
        <w:tc>
          <w:tcPr>
            <w:tcW w:w="114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单位</w:t>
            </w:r>
          </w:p>
        </w:tc>
        <w:tc>
          <w:tcPr>
            <w:tcW w:w="4274" w:type="dxa"/>
            <w:shd w:val="clear" w:color="auto" w:fill="C0C0C0"/>
            <w:noWrap w:val="0"/>
            <w:vAlign w:val="center"/>
          </w:tcPr>
          <w:p>
            <w:pPr>
              <w:pStyle w:val="5"/>
              <w:numPr>
                <w:ilvl w:val="0"/>
                <w:numId w:val="0"/>
              </w:numPr>
              <w:tabs>
                <w:tab w:val="left" w:pos="840"/>
              </w:tabs>
              <w:snapToGrid w:val="0"/>
              <w:spacing w:before="0" w:after="0" w:line="240" w:lineRule="auto"/>
              <w:ind w:right="-601" w:rightChars="-286" w:firstLine="240" w:firstLineChars="100"/>
              <w:jc w:val="both"/>
              <w:rPr>
                <w:rFonts w:hint="eastAsia" w:ascii="宋体" w:hAnsi="宋体" w:cs="宋体"/>
                <w:b w:val="0"/>
                <w:bCs w:val="0"/>
                <w:sz w:val="24"/>
                <w:szCs w:val="24"/>
                <w:highlight w:val="none"/>
                <w:lang w:val="zh-CN"/>
              </w:rPr>
            </w:pPr>
            <w:r>
              <w:rPr>
                <w:rFonts w:hint="eastAsia" w:ascii="宋体" w:hAnsi="宋体" w:cs="宋体"/>
                <w:b w:val="0"/>
                <w:bCs w:val="0"/>
                <w:sz w:val="24"/>
                <w:szCs w:val="24"/>
                <w:highlight w:val="none"/>
                <w:lang w:val="zh-CN"/>
              </w:rPr>
              <w:t>简要规格描述或项目基本概况介绍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82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2789" w:type="dxa"/>
            <w:noWrap w:val="0"/>
            <w:vAlign w:val="center"/>
          </w:tcPr>
          <w:p>
            <w:pPr>
              <w:adjustRightInd w:val="0"/>
              <w:snapToGrid w:val="0"/>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 xml:space="preserve">电信市场和服务依法行政监管能力提升支撑 </w:t>
            </w:r>
          </w:p>
        </w:tc>
        <w:tc>
          <w:tcPr>
            <w:tcW w:w="89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114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项</w:t>
            </w:r>
          </w:p>
        </w:tc>
        <w:tc>
          <w:tcPr>
            <w:tcW w:w="4274" w:type="dxa"/>
            <w:noWrap w:val="0"/>
            <w:vAlign w:val="center"/>
          </w:tcPr>
          <w:p>
            <w:pPr>
              <w:snapToGrid w:val="0"/>
              <w:jc w:val="center"/>
              <w:rPr>
                <w:rFonts w:hint="eastAsia" w:ascii="宋体" w:hAnsi="宋体" w:cs="宋体"/>
                <w:bCs/>
                <w:sz w:val="24"/>
                <w:highlight w:val="none"/>
              </w:rPr>
            </w:pPr>
            <w:r>
              <w:rPr>
                <w:rFonts w:hint="eastAsia" w:ascii="宋体" w:hAnsi="宋体" w:cs="宋体"/>
                <w:bCs/>
                <w:sz w:val="24"/>
                <w:highlight w:val="none"/>
              </w:rPr>
              <w:t xml:space="preserve"> 详见磋商文件</w:t>
            </w:r>
          </w:p>
        </w:tc>
      </w:tr>
    </w:tbl>
    <w:p>
      <w:pPr>
        <w:widowControl/>
        <w:rPr>
          <w:rFonts w:hint="eastAsia" w:ascii="宋体" w:hAnsi="宋体" w:cs="宋体"/>
          <w:b/>
          <w:bCs/>
          <w:sz w:val="24"/>
          <w:szCs w:val="24"/>
          <w:highlight w:val="none"/>
        </w:rPr>
      </w:pP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3.供应商的资格要求：</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资格审查时，供应商未被列入失信被执行人、重大税收违法失信主体、政府采购严重违法失信行为记录名单，相关信用情况通过“信用中国”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r>
        <w:rPr>
          <w:rFonts w:hint="eastAsia" w:ascii="宋体" w:hAnsi="宋体" w:cs="宋体"/>
          <w:sz w:val="24"/>
          <w:szCs w:val="24"/>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napToGrid w:val="0"/>
        <w:spacing w:line="360" w:lineRule="auto"/>
        <w:ind w:right="-212" w:rightChars="-101" w:firstLine="480" w:firstLineChars="200"/>
        <w:rPr>
          <w:rFonts w:hint="default" w:eastAsia="宋体"/>
          <w:highlight w:val="yellow"/>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rPr>
        <w:t>本项目不允许转包、分包，不接受联合体投标。</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4.磋商文件发售时间、发售形式：</w:t>
      </w:r>
    </w:p>
    <w:p>
      <w:pPr>
        <w:pStyle w:val="23"/>
        <w:pBdr>
          <w:bottom w:val="none" w:color="auto" w:sz="0" w:space="0"/>
        </w:pBd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发售时间：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日至</w:t>
      </w:r>
      <w:r>
        <w:rPr>
          <w:rFonts w:hint="eastAsia" w:ascii="宋体" w:hAnsi="宋体" w:cs="宋体"/>
          <w:bCs/>
          <w:sz w:val="24"/>
          <w:szCs w:val="24"/>
          <w:highlight w:val="none"/>
          <w:u w:val="single"/>
        </w:rPr>
        <w:t>202</w:t>
      </w:r>
      <w:r>
        <w:rPr>
          <w:rFonts w:hint="eastAsia" w:ascii="宋体" w:hAnsi="宋体" w:cs="宋体"/>
          <w:bCs/>
          <w:sz w:val="24"/>
          <w:szCs w:val="24"/>
          <w:highlight w:val="none"/>
          <w:u w:val="single"/>
          <w:lang w:val="en-US" w:eastAsia="zh-CN"/>
        </w:rPr>
        <w:t>5</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26 </w:t>
      </w:r>
      <w:r>
        <w:rPr>
          <w:rFonts w:hint="eastAsia" w:ascii="宋体" w:hAnsi="宋体" w:cs="宋体"/>
          <w:bCs/>
          <w:sz w:val="24"/>
          <w:szCs w:val="24"/>
          <w:highlight w:val="none"/>
        </w:rPr>
        <w:t>日</w:t>
      </w:r>
      <w:r>
        <w:rPr>
          <w:rFonts w:hint="eastAsia" w:ascii="宋体" w:hAnsi="宋体" w:cs="宋体"/>
          <w:sz w:val="24"/>
          <w:szCs w:val="24"/>
          <w:highlight w:val="none"/>
        </w:rPr>
        <w:t>止，每日上午9:00-11:</w:t>
      </w:r>
      <w:r>
        <w:rPr>
          <w:rFonts w:hint="eastAsia" w:ascii="宋体" w:hAnsi="宋体" w:cs="宋体"/>
          <w:sz w:val="24"/>
          <w:szCs w:val="24"/>
          <w:highlight w:val="none"/>
          <w:lang w:val="en-US" w:eastAsia="zh-CN"/>
        </w:rPr>
        <w:t>3</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0-17:00（北京时间，节假日除外）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rPr>
        <w:t>发售形式：本项目发售电子版标书，供应商请于</w:t>
      </w:r>
      <w:r>
        <w:rPr>
          <w:rFonts w:hint="eastAsia" w:ascii="宋体" w:hAnsi="宋体" w:cs="宋体"/>
          <w:b/>
          <w:bCs/>
          <w:sz w:val="24"/>
          <w:szCs w:val="24"/>
          <w:highlight w:val="none"/>
          <w:lang w:val="en-US" w:eastAsia="zh-CN"/>
        </w:rPr>
        <w:t>标书发售期内</w:t>
      </w:r>
      <w:r>
        <w:rPr>
          <w:rFonts w:hint="eastAsia" w:ascii="宋体" w:hAnsi="宋体" w:cs="宋体"/>
          <w:b/>
          <w:bCs/>
          <w:sz w:val="24"/>
          <w:szCs w:val="24"/>
          <w:highlight w:val="none"/>
        </w:rPr>
        <w:t>前往“内蒙古自治区通信管理局官网”（https://nmca.miit.gov.cn/），</w:t>
      </w:r>
      <w:r>
        <w:rPr>
          <w:rFonts w:hint="eastAsia" w:ascii="宋体" w:hAnsi="宋体" w:cs="宋体"/>
          <w:b/>
          <w:bCs/>
          <w:sz w:val="24"/>
          <w:szCs w:val="24"/>
          <w:highlight w:val="none"/>
          <w:lang w:eastAsia="zh-CN"/>
        </w:rPr>
        <w:t>通过公告</w:t>
      </w:r>
      <w:r>
        <w:rPr>
          <w:rFonts w:hint="eastAsia" w:ascii="宋体" w:hAnsi="宋体" w:cs="宋体"/>
          <w:b/>
          <w:bCs/>
          <w:sz w:val="24"/>
          <w:szCs w:val="24"/>
          <w:highlight w:val="none"/>
          <w:lang w:val="en-US" w:eastAsia="zh-CN"/>
        </w:rPr>
        <w:t>自行获取</w:t>
      </w:r>
      <w:r>
        <w:rPr>
          <w:rFonts w:hint="eastAsia" w:ascii="宋体" w:hAnsi="宋体" w:cs="宋体"/>
          <w:b/>
          <w:bCs/>
          <w:sz w:val="24"/>
          <w:szCs w:val="24"/>
          <w:highlight w:val="none"/>
          <w:lang w:eastAsia="zh-CN"/>
        </w:rPr>
        <w:t>。</w:t>
      </w:r>
    </w:p>
    <w:p>
      <w:pPr>
        <w:pStyle w:val="23"/>
        <w:pBdr>
          <w:bottom w:val="none" w:color="auto" w:sz="0" w:space="0"/>
        </w:pBd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eastAsia="宋体" w:cs="宋体"/>
          <w:sz w:val="24"/>
          <w:szCs w:val="24"/>
          <w:highlight w:val="none"/>
          <w:lang w:eastAsia="zh-CN"/>
        </w:rPr>
        <w:t>售价：</w:t>
      </w:r>
      <w:r>
        <w:rPr>
          <w:rFonts w:hint="eastAsia" w:ascii="宋体" w:hAnsi="宋体" w:eastAsia="宋体" w:cs="宋体"/>
          <w:sz w:val="24"/>
          <w:szCs w:val="24"/>
          <w:highlight w:val="none"/>
          <w:lang w:val="en-US" w:eastAsia="zh-CN"/>
        </w:rPr>
        <w:t>免费获取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5.响应文件提交截止时间及地点：</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none"/>
          <w:lang w:val="en-US" w:eastAsia="zh-CN"/>
        </w:rPr>
        <w:t>年</w:t>
      </w:r>
      <w:r>
        <w:rPr>
          <w:rFonts w:hint="eastAsia" w:ascii="宋体" w:hAnsi="宋体" w:cs="宋体"/>
          <w:sz w:val="24"/>
          <w:szCs w:val="24"/>
          <w:highlight w:val="none"/>
          <w:u w:val="single"/>
          <w:lang w:val="en-US" w:eastAsia="zh-CN"/>
        </w:rPr>
        <w:t xml:space="preserve"> 10</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27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cs="宋体"/>
          <w:sz w:val="24"/>
          <w:szCs w:val="24"/>
          <w:highlight w:val="none"/>
        </w:rPr>
        <w:t>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9：00 </w:t>
      </w:r>
      <w:r>
        <w:rPr>
          <w:rFonts w:hint="eastAsia" w:ascii="宋体" w:hAnsi="宋体" w:cs="宋体"/>
          <w:sz w:val="24"/>
          <w:szCs w:val="24"/>
          <w:highlight w:val="none"/>
          <w:u w:val="single"/>
        </w:rPr>
        <w:t xml:space="preserve">时 </w:t>
      </w:r>
      <w:r>
        <w:rPr>
          <w:rFonts w:hint="eastAsia" w:ascii="宋体" w:hAnsi="宋体" w:cs="宋体"/>
          <w:sz w:val="24"/>
          <w:szCs w:val="24"/>
          <w:highlight w:val="none"/>
        </w:rPr>
        <w:t>（北京时间）。</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highlight w:val="none"/>
          <w:u w:val="single"/>
        </w:rPr>
        <w:t>　内蒙古呼和浩特市赛罕区</w:t>
      </w:r>
      <w:r>
        <w:rPr>
          <w:rFonts w:hint="eastAsia" w:ascii="宋体" w:hAnsi="宋体" w:cs="宋体"/>
          <w:sz w:val="24"/>
          <w:highlight w:val="none"/>
          <w:u w:val="single"/>
          <w:lang w:eastAsia="zh-CN"/>
        </w:rPr>
        <w:t>呼伦南路</w:t>
      </w:r>
      <w:r>
        <w:rPr>
          <w:rFonts w:hint="eastAsia" w:ascii="宋体" w:hAnsi="宋体" w:cs="宋体"/>
          <w:sz w:val="24"/>
          <w:highlight w:val="none"/>
          <w:u w:val="single"/>
          <w:lang w:val="en-US" w:eastAsia="zh-CN"/>
        </w:rPr>
        <w:t xml:space="preserve">73号 </w:t>
      </w:r>
      <w:r>
        <w:rPr>
          <w:rFonts w:hint="eastAsia" w:ascii="宋体" w:hAnsi="宋体" w:cs="宋体"/>
          <w:sz w:val="24"/>
          <w:szCs w:val="24"/>
          <w:highlight w:val="none"/>
        </w:rPr>
        <w:t>。</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在以上截止时间后送达到指定地点的响应文件为无效文件，该文件将被拒收。</w:t>
      </w:r>
    </w:p>
    <w:p>
      <w:pPr>
        <w:snapToGrid w:val="0"/>
        <w:spacing w:line="360" w:lineRule="auto"/>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6.凡对竞争性磋商提出询问，请按下列方式联系：</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widowControl/>
        <w:shd w:val="clear" w:color="auto" w:fill="FFFFFF"/>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地址：内蒙古呼和浩特市赛罕区呼伦南路73号</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cs="宋体"/>
          <w:kern w:val="0"/>
          <w:sz w:val="24"/>
          <w:highlight w:val="none"/>
          <w:lang w:eastAsia="zh-CN"/>
        </w:rPr>
        <w:t>王璐</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eastAsia="zh-CN"/>
        </w:rPr>
        <w:t>0471-6682006</w:t>
      </w:r>
    </w:p>
    <w:p>
      <w:pPr>
        <w:widowControl/>
        <w:shd w:val="clear" w:color="auto" w:fill="FFFFFF"/>
        <w:spacing w:line="360" w:lineRule="auto"/>
        <w:ind w:firstLine="240" w:firstLineChars="100"/>
        <w:jc w:val="left"/>
        <w:rPr>
          <w:rFonts w:hint="eastAsia" w:ascii="宋体" w:hAnsi="宋体" w:cs="宋体"/>
          <w:sz w:val="24"/>
          <w:szCs w:val="24"/>
          <w:highlight w:val="yellow"/>
        </w:rPr>
      </w:pPr>
    </w:p>
    <w:p>
      <w:pPr>
        <w:widowControl/>
        <w:shd w:val="clear" w:color="auto" w:fill="FFFFFF"/>
        <w:spacing w:line="360" w:lineRule="auto"/>
        <w:ind w:firstLine="240" w:firstLineChars="100"/>
        <w:jc w:val="left"/>
        <w:rPr>
          <w:rFonts w:hint="eastAsia" w:ascii="宋体" w:hAnsi="宋体" w:eastAsia="宋体" w:cs="宋体"/>
          <w:kern w:val="0"/>
          <w:sz w:val="24"/>
          <w:highlight w:val="none"/>
          <w:lang w:eastAsia="zh-CN"/>
        </w:rPr>
      </w:pPr>
    </w:p>
    <w:p>
      <w:pPr>
        <w:snapToGrid w:val="0"/>
        <w:spacing w:line="360" w:lineRule="auto"/>
        <w:ind w:firstLine="5760" w:firstLineChars="2400"/>
        <w:rPr>
          <w:rFonts w:hint="eastAsia" w:ascii="宋体" w:hAnsi="宋体" w:cs="宋体"/>
          <w:sz w:val="24"/>
          <w:szCs w:val="24"/>
          <w:highlight w:val="none"/>
        </w:rPr>
      </w:pPr>
    </w:p>
    <w:p>
      <w:pPr>
        <w:ind w:firstLine="480" w:firstLineChars="200"/>
        <w:rPr>
          <w:rFonts w:hint="eastAsia"/>
        </w:rPr>
      </w:pPr>
      <w:r>
        <w:rPr>
          <w:rFonts w:hint="eastAsia" w:ascii="宋体" w:hAnsi="宋体" w:cs="宋体"/>
          <w:sz w:val="24"/>
          <w:szCs w:val="24"/>
          <w:highlight w:val="none"/>
        </w:rPr>
        <w:br w:type="page"/>
      </w:r>
    </w:p>
    <w:p>
      <w:pPr>
        <w:pStyle w:val="3"/>
        <w:numPr>
          <w:ilvl w:val="0"/>
          <w:numId w:val="0"/>
        </w:numPr>
        <w:spacing w:before="0" w:after="0" w:line="480" w:lineRule="exact"/>
        <w:jc w:val="center"/>
        <w:rPr>
          <w:rFonts w:hint="eastAsia" w:ascii="宋体" w:hAnsi="宋体" w:cs="宋体"/>
          <w:highlight w:val="none"/>
        </w:rPr>
      </w:pPr>
      <w:bookmarkStart w:id="6" w:name="_Toc511641658"/>
      <w:bookmarkStart w:id="7" w:name="_Toc470496183"/>
      <w:bookmarkStart w:id="8" w:name="_Toc380479085"/>
      <w:r>
        <w:rPr>
          <w:rFonts w:hint="eastAsia" w:ascii="宋体" w:hAnsi="宋体" w:cs="宋体"/>
          <w:highlight w:val="none"/>
        </w:rPr>
        <w:t>第二章  磋商供应商须知</w:t>
      </w:r>
      <w:bookmarkEnd w:id="6"/>
      <w:bookmarkEnd w:id="7"/>
      <w:bookmarkEnd w:id="8"/>
    </w:p>
    <w:p>
      <w:pPr>
        <w:pStyle w:val="3"/>
        <w:numPr>
          <w:ilvl w:val="0"/>
          <w:numId w:val="0"/>
        </w:numPr>
        <w:spacing w:before="0" w:after="0" w:line="480" w:lineRule="exact"/>
        <w:jc w:val="both"/>
        <w:rPr>
          <w:rFonts w:hint="eastAsia" w:ascii="宋体" w:hAnsi="宋体" w:cs="宋体"/>
          <w:sz w:val="32"/>
          <w:szCs w:val="32"/>
          <w:highlight w:val="none"/>
        </w:rPr>
      </w:pPr>
      <w:bookmarkStart w:id="9" w:name="_Toc380479086"/>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rPr>
          <w:rFonts w:hint="eastAsia" w:ascii="宋体" w:hAnsi="宋体" w:cs="宋体"/>
          <w:highlight w:val="none"/>
        </w:rPr>
      </w:pPr>
    </w:p>
    <w:p>
      <w:pPr>
        <w:rPr>
          <w:rFonts w:hint="eastAsia" w:ascii="宋体" w:hAnsi="宋体" w:cs="宋体"/>
          <w:highlight w:val="none"/>
        </w:rPr>
      </w:pPr>
    </w:p>
    <w:p>
      <w:pPr>
        <w:pStyle w:val="95"/>
        <w:rPr>
          <w:rFonts w:hint="eastAsia" w:ascii="宋体" w:hAnsi="宋体" w:eastAsia="宋体" w:cs="宋体"/>
          <w:highlight w:val="none"/>
        </w:rPr>
      </w:pPr>
    </w:p>
    <w:p>
      <w:pPr>
        <w:pStyle w:val="96"/>
        <w:rPr>
          <w:rFonts w:hint="eastAsia" w:ascii="宋体" w:hAnsi="宋体" w:eastAsia="宋体" w:cs="宋体"/>
          <w:highlight w:val="none"/>
        </w:rPr>
      </w:pPr>
    </w:p>
    <w:p>
      <w:pPr>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3"/>
        <w:numPr>
          <w:ilvl w:val="0"/>
          <w:numId w:val="0"/>
        </w:numPr>
        <w:spacing w:before="0" w:after="0" w:line="480" w:lineRule="exact"/>
        <w:ind w:firstLine="642" w:firstLineChars="200"/>
        <w:rPr>
          <w:rFonts w:hint="eastAsia" w:ascii="宋体" w:hAnsi="宋体" w:cs="宋体"/>
          <w:b w:val="0"/>
          <w:sz w:val="32"/>
          <w:szCs w:val="32"/>
          <w:highlight w:val="none"/>
        </w:rPr>
      </w:pPr>
      <w:r>
        <w:rPr>
          <w:rFonts w:hint="eastAsia" w:ascii="宋体" w:hAnsi="宋体" w:cs="宋体"/>
          <w:sz w:val="32"/>
          <w:szCs w:val="32"/>
          <w:highlight w:val="none"/>
        </w:rPr>
        <w:t>磋商供应商须知前附表</w:t>
      </w:r>
      <w:bookmarkEnd w:id="9"/>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本表是关于要采购货物或服务的具体资料，是对磋商供应商须知的具体补充和修改，如有矛盾，应以本表为准。</w:t>
      </w:r>
    </w:p>
    <w:tbl>
      <w:tblPr>
        <w:tblStyle w:val="30"/>
        <w:tblW w:w="967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89"/>
        <w:gridCol w:w="8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1489" w:type="dxa"/>
            <w:noWrap w:val="0"/>
            <w:vAlign w:val="center"/>
          </w:tcPr>
          <w:p>
            <w:pPr>
              <w:spacing w:line="480" w:lineRule="exact"/>
              <w:ind w:left="1081" w:leftChars="-13" w:hanging="1108"/>
              <w:jc w:val="center"/>
              <w:rPr>
                <w:rFonts w:hint="eastAsia" w:ascii="宋体" w:hAnsi="宋体" w:cs="宋体"/>
                <w:sz w:val="24"/>
                <w:szCs w:val="24"/>
                <w:highlight w:val="none"/>
              </w:rPr>
            </w:pPr>
            <w:r>
              <w:rPr>
                <w:rFonts w:hint="eastAsia" w:ascii="宋体" w:hAnsi="宋体" w:cs="宋体"/>
                <w:sz w:val="24"/>
                <w:szCs w:val="24"/>
                <w:highlight w:val="none"/>
              </w:rPr>
              <w:t>条款号</w:t>
            </w:r>
          </w:p>
        </w:tc>
        <w:tc>
          <w:tcPr>
            <w:tcW w:w="8190" w:type="dxa"/>
            <w:noWrap w:val="0"/>
            <w:vAlign w:val="center"/>
          </w:tcPr>
          <w:p>
            <w:pPr>
              <w:spacing w:line="480" w:lineRule="exact"/>
              <w:ind w:left="1080" w:hanging="1080"/>
              <w:jc w:val="center"/>
              <w:rPr>
                <w:rFonts w:hint="eastAsia" w:ascii="宋体" w:hAnsi="宋体" w:cs="宋体"/>
                <w:sz w:val="24"/>
                <w:szCs w:val="24"/>
                <w:highlight w:val="none"/>
              </w:rPr>
            </w:pPr>
            <w:r>
              <w:rPr>
                <w:rFonts w:hint="eastAsia" w:ascii="宋体"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8"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1.1</w:t>
            </w:r>
          </w:p>
        </w:tc>
        <w:tc>
          <w:tcPr>
            <w:tcW w:w="8190" w:type="dxa"/>
            <w:noWrap w:val="0"/>
            <w:vAlign w:val="center"/>
          </w:tcPr>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址：内蒙古呼和浩特市赛罕区呼伦南路73号</w:t>
            </w:r>
          </w:p>
          <w:p>
            <w:pPr>
              <w:spacing w:line="240" w:lineRule="atLeas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kern w:val="0"/>
                <w:sz w:val="24"/>
                <w:highlight w:val="none"/>
                <w:lang w:eastAsia="zh-CN"/>
              </w:rPr>
              <w:t>王璐</w:t>
            </w:r>
          </w:p>
          <w:p>
            <w:pPr>
              <w:spacing w:line="24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0471-6682006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240" w:lineRule="atLeast"/>
              <w:jc w:val="right"/>
              <w:rPr>
                <w:rFonts w:hint="eastAsia" w:ascii="宋体" w:hAnsi="宋体" w:cs="宋体"/>
                <w:sz w:val="24"/>
                <w:szCs w:val="24"/>
                <w:highlight w:val="none"/>
              </w:rPr>
            </w:pPr>
            <w:r>
              <w:rPr>
                <w:rFonts w:hint="eastAsia" w:ascii="宋体" w:hAnsi="宋体" w:cs="宋体"/>
                <w:sz w:val="24"/>
                <w:szCs w:val="24"/>
                <w:highlight w:val="none"/>
              </w:rPr>
              <w:t>2.1（4）</w:t>
            </w:r>
          </w:p>
        </w:tc>
        <w:tc>
          <w:tcPr>
            <w:tcW w:w="8190" w:type="dxa"/>
            <w:noWrap w:val="0"/>
            <w:vAlign w:val="center"/>
          </w:tcPr>
          <w:p>
            <w:pPr>
              <w:spacing w:line="240" w:lineRule="atLeast"/>
              <w:rPr>
                <w:rFonts w:hint="eastAsia" w:ascii="宋体" w:hAnsi="宋体" w:cs="宋体"/>
                <w:sz w:val="24"/>
                <w:szCs w:val="24"/>
                <w:highlight w:val="none"/>
              </w:rPr>
            </w:pPr>
            <w:r>
              <w:rPr>
                <w:rFonts w:hint="eastAsia" w:ascii="宋体" w:hAnsi="宋体" w:cs="宋体"/>
                <w:sz w:val="24"/>
                <w:szCs w:val="24"/>
                <w:highlight w:val="none"/>
              </w:rPr>
              <w:t>合格供应商资格条件其他要求：详见竞争性磋商招标公告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2.1（5）</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是否允许采购进口产品：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2.1（6）</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是否专门面向中小企业采购：</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2.1（7）</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i w:val="0"/>
                <w:iCs/>
                <w:sz w:val="24"/>
                <w:highlight w:val="none"/>
              </w:rPr>
              <w:t>（标的名称）</w:t>
            </w:r>
            <w:r>
              <w:rPr>
                <w:rFonts w:hint="eastAsia" w:ascii="宋体" w:hAnsi="宋体" w:cs="宋体"/>
                <w:iCs/>
                <w:sz w:val="24"/>
                <w:highlight w:val="none"/>
              </w:rPr>
              <w:t>所属行业：</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法律</w:t>
            </w:r>
            <w:r>
              <w:rPr>
                <w:rFonts w:hint="eastAsia" w:ascii="宋体" w:hAnsi="宋体" w:cs="宋体"/>
                <w:sz w:val="24"/>
                <w:highlight w:val="none"/>
                <w:u w:val="single"/>
              </w:rPr>
              <w:t xml:space="preserve">服务业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2.1（8）</w:t>
            </w:r>
          </w:p>
        </w:tc>
        <w:tc>
          <w:tcPr>
            <w:tcW w:w="8190" w:type="dxa"/>
            <w:noWrap w:val="0"/>
            <w:vAlign w:val="center"/>
          </w:tcPr>
          <w:p>
            <w:pPr>
              <w:spacing w:line="240" w:lineRule="atLeast"/>
              <w:rPr>
                <w:rFonts w:hint="eastAsia" w:ascii="宋体" w:hAnsi="宋体" w:cs="宋体"/>
                <w:sz w:val="24"/>
                <w:szCs w:val="24"/>
                <w:highlight w:val="none"/>
                <w:u w:val="single"/>
              </w:rPr>
            </w:pPr>
            <w:r>
              <w:rPr>
                <w:rFonts w:hint="eastAsia" w:ascii="宋体" w:hAnsi="宋体" w:cs="宋体"/>
                <w:sz w:val="24"/>
                <w:highlight w:val="none"/>
              </w:rPr>
              <w:t>是否为本项目面向中小企业采购预留份额：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是否允许联合体参加磋商：</w:t>
            </w:r>
            <w:r>
              <w:rPr>
                <w:rFonts w:hint="eastAsia" w:ascii="宋体" w:hAnsi="宋体" w:cs="宋体"/>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2.2（8）</w:t>
            </w:r>
          </w:p>
        </w:tc>
        <w:tc>
          <w:tcPr>
            <w:tcW w:w="8190" w:type="dxa"/>
            <w:noWrap w:val="0"/>
            <w:vAlign w:val="center"/>
          </w:tcPr>
          <w:p>
            <w:pPr>
              <w:spacing w:line="480" w:lineRule="exact"/>
              <w:rPr>
                <w:rFonts w:ascii="宋体" w:hAnsi="宋体" w:cs="宋体"/>
                <w:sz w:val="24"/>
                <w:szCs w:val="24"/>
                <w:highlight w:val="none"/>
              </w:rPr>
            </w:pPr>
            <w:r>
              <w:rPr>
                <w:rFonts w:hint="eastAsia" w:ascii="宋体" w:hAnsi="宋体" w:cs="宋体"/>
                <w:sz w:val="24"/>
                <w:szCs w:val="24"/>
                <w:highlight w:val="none"/>
              </w:rPr>
              <w:t>对联合体的其他资格要求：本项目不允许联合体投标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spacing w:line="480" w:lineRule="exact"/>
              <w:rPr>
                <w:rFonts w:ascii="宋体" w:hAnsi="宋体" w:cs="宋体"/>
                <w:b/>
                <w:sz w:val="24"/>
                <w:szCs w:val="24"/>
                <w:highlight w:val="none"/>
              </w:rPr>
            </w:pPr>
            <w:r>
              <w:rPr>
                <w:rFonts w:hint="eastAsia" w:ascii="宋体" w:hAnsi="宋体" w:cs="宋体"/>
                <w:sz w:val="24"/>
                <w:szCs w:val="24"/>
                <w:highlight w:val="none"/>
              </w:rPr>
              <w:t>采购需求响应文件内容要求： 详见第四章：采购需求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2.资格审查时，供应商未被列入失信被执行人、重大税收违法失信主体、政府采购严重违法失信行为记录名单，相关信用情况通 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3.单位负责人为同一人或者存在直接控股、管理关系的不同供应商，不得参加同一合同项下的政府采购活动。</w:t>
            </w:r>
          </w:p>
          <w:p>
            <w:pPr>
              <w:widowControl/>
              <w:kinsoku w:val="0"/>
              <w:autoSpaceDE w:val="0"/>
              <w:autoSpaceDN w:val="0"/>
              <w:adjustRightInd w:val="0"/>
              <w:snapToGrid w:val="0"/>
              <w:spacing w:line="240" w:lineRule="auto"/>
              <w:ind w:firstLine="480" w:firstLineChars="200"/>
              <w:jc w:val="both"/>
              <w:textAlignment w:val="baseline"/>
              <w:rPr>
                <w:rFonts w:hint="default" w:eastAsia="宋体"/>
                <w:highlight w:val="none"/>
                <w:lang w:val="en-US" w:eastAsia="zh-CN"/>
              </w:rPr>
            </w:pPr>
            <w:r>
              <w:rPr>
                <w:rFonts w:hint="eastAsia" w:ascii="宋体" w:hAnsi="宋体" w:cs="宋体"/>
                <w:sz w:val="24"/>
                <w:szCs w:val="24"/>
              </w:rPr>
              <w:t>4.</w:t>
            </w:r>
            <w:r>
              <w:rPr>
                <w:rFonts w:hint="eastAsia" w:ascii="宋体" w:hAnsi="宋体" w:cs="宋体"/>
                <w:sz w:val="24"/>
                <w:szCs w:val="24"/>
                <w:highlight w:val="none"/>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p>
        </w:tc>
        <w:tc>
          <w:tcPr>
            <w:tcW w:w="8190" w:type="dxa"/>
            <w:noWrap w:val="0"/>
            <w:vAlign w:val="center"/>
          </w:tcPr>
          <w:p>
            <w:pPr>
              <w:spacing w:line="480" w:lineRule="exact"/>
              <w:ind w:hanging="50"/>
              <w:jc w:val="left"/>
              <w:rPr>
                <w:rFonts w:hint="eastAsia" w:ascii="宋体" w:hAnsi="宋体" w:cs="宋体"/>
                <w:sz w:val="24"/>
                <w:szCs w:val="24"/>
                <w:highlight w:val="none"/>
                <w:u w:val="single"/>
              </w:rPr>
            </w:pPr>
            <w:r>
              <w:rPr>
                <w:rFonts w:hint="eastAsia" w:ascii="宋体" w:hAnsi="宋体" w:cs="宋体"/>
                <w:sz w:val="24"/>
                <w:szCs w:val="24"/>
                <w:highlight w:val="none"/>
              </w:rPr>
              <w:t>响应文件有效期：</w:t>
            </w:r>
            <w:r>
              <w:rPr>
                <w:rFonts w:hint="eastAsia" w:ascii="宋体" w:hAnsi="宋体" w:cs="宋体"/>
                <w:b/>
                <w:bCs/>
                <w:sz w:val="24"/>
                <w:szCs w:val="24"/>
                <w:highlight w:val="none"/>
                <w:u w:val="single"/>
              </w:rPr>
              <w:t>90</w:t>
            </w:r>
            <w:r>
              <w:rPr>
                <w:rFonts w:hint="eastAsia" w:ascii="宋体" w:hAnsi="宋体" w:cs="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p>
        </w:tc>
        <w:tc>
          <w:tcPr>
            <w:tcW w:w="8190" w:type="dxa"/>
            <w:noWrap w:val="0"/>
            <w:vAlign w:val="center"/>
          </w:tcPr>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响应文件数量：</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正本：</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电子文档：</w:t>
            </w:r>
            <w:r>
              <w:rPr>
                <w:rFonts w:hint="eastAsia" w:ascii="宋体" w:hAnsi="宋体" w:cs="宋体"/>
                <w:sz w:val="24"/>
                <w:szCs w:val="24"/>
                <w:highlight w:val="none"/>
                <w:u w:val="single"/>
              </w:rPr>
              <w:t>1</w:t>
            </w:r>
            <w:r>
              <w:rPr>
                <w:rFonts w:hint="eastAsia" w:ascii="宋体" w:hAnsi="宋体" w:cs="宋体"/>
                <w:sz w:val="24"/>
                <w:szCs w:val="24"/>
                <w:highlight w:val="none"/>
              </w:rPr>
              <w:t>份（其中正本扫描件电子文档1份，U盘形式提交）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269" w:leftChars="128"/>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磋商文件可以修改变动的内容：</w:t>
            </w:r>
            <w:r>
              <w:rPr>
                <w:rFonts w:hint="eastAsia" w:ascii="宋体" w:hAnsi="宋体" w:cs="宋体"/>
                <w:b/>
                <w:sz w:val="24"/>
                <w:szCs w:val="24"/>
                <w:highlight w:val="none"/>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.1</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磋商小组推荐成交候选人数量：</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适用于磋商供应商须知的额外增加的变动：无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.1</w:t>
            </w:r>
          </w:p>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.2</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小型、微型或监狱企业制造的货物或提供服务价格扣除比例：</w:t>
            </w:r>
            <w:r>
              <w:rPr>
                <w:rFonts w:hint="eastAsia" w:ascii="宋体" w:hAnsi="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jc w:val="center"/>
              <w:rPr>
                <w:rFonts w:hint="eastAsia" w:ascii="宋体" w:hAnsi="宋体" w:cs="宋体"/>
                <w:sz w:val="24"/>
                <w:szCs w:val="24"/>
                <w:highlight w:val="none"/>
              </w:rPr>
            </w:pPr>
            <w:r>
              <w:rPr>
                <w:rFonts w:hint="eastAsia" w:ascii="宋体" w:hAnsi="宋体" w:cs="宋体"/>
                <w:sz w:val="24"/>
                <w:szCs w:val="24"/>
                <w:highlight w:val="none"/>
              </w:rPr>
              <w:t>需要补充的其他材料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响应文件签字、盖章要求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center"/>
          </w:tcPr>
          <w:p>
            <w:pPr>
              <w:pStyle w:val="103"/>
              <w:spacing w:before="84" w:line="220" w:lineRule="auto"/>
              <w:ind w:left="102" w:leftChars="0"/>
              <w:jc w:val="both"/>
              <w:rPr>
                <w:rFonts w:hint="eastAsia" w:ascii="宋体" w:hAnsi="宋体" w:eastAsia="宋体" w:cs="宋体"/>
                <w:kern w:val="2"/>
                <w:sz w:val="24"/>
                <w:szCs w:val="24"/>
                <w:lang w:val="en-US" w:eastAsia="zh-CN" w:bidi="ar-SA"/>
              </w:rPr>
            </w:pPr>
            <w:r>
              <w:rPr>
                <w:rFonts w:hint="eastAsia"/>
                <w:sz w:val="24"/>
                <w:szCs w:val="24"/>
                <w:lang w:eastAsia="zh-CN"/>
              </w:rPr>
              <w:t>应按照响应文件格式要求进行签字、盖章。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default" w:ascii="宋体" w:hAnsi="宋体" w:eastAsia="宋体" w:cs="宋体"/>
                <w:kern w:val="2"/>
                <w:sz w:val="24"/>
                <w:szCs w:val="24"/>
                <w:lang w:val="en-US" w:eastAsia="zh-CN" w:bidi="ar-SA"/>
              </w:rPr>
            </w:pPr>
            <w:r>
              <w:rPr>
                <w:rFonts w:hint="eastAsia"/>
                <w:sz w:val="24"/>
                <w:szCs w:val="24"/>
                <w:lang w:eastAsia="zh-CN"/>
              </w:rPr>
              <w:t>响应文件装订及密封要求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装订要求：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1.装订要求：响应文件应牢固装订成册，牢固装订是指装订好的响应文件不至于在翻页时散开或用简单的方式将其中一页取出或插入。不得采用活页装订。</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2.装订方式：胶装。</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密封要求：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1.响应文件的正本单独用一个封套密封，所有副本单独用一个封套密封，响应文件电子版文档单独密封。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2.在封套的封口处加盖供应商单位公章或密封章。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封套上写明</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封套应按以下格式显著标志：</w:t>
            </w:r>
            <w:r>
              <w:rPr>
                <w:rFonts w:hint="eastAsia"/>
                <w:sz w:val="24"/>
                <w:szCs w:val="24"/>
                <w:lang w:eastAsia="zh-CN"/>
              </w:rPr>
              <w:tab/>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（1）交: 内蒙古自治区通信管理局</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 xml:space="preserve">（2）项目名称： </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）供应商名称：</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  年  月  日时前不得启封。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封套上标明响应文件“正本”、“副本”字样或“正、副本”字样、响应文件电子版文档字样。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投标报价</w:t>
            </w:r>
          </w:p>
        </w:tc>
        <w:tc>
          <w:tcPr>
            <w:tcW w:w="8190"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本项目预算价为人民币</w:t>
            </w:r>
            <w:r>
              <w:rPr>
                <w:rFonts w:hint="eastAsia" w:ascii="宋体" w:hAnsi="宋体" w:cs="宋体"/>
                <w:b/>
                <w:bCs/>
                <w:sz w:val="24"/>
                <w:szCs w:val="24"/>
                <w:u w:val="single"/>
                <w:lang w:val="en-US" w:eastAsia="zh-CN"/>
              </w:rPr>
              <w:t>12</w:t>
            </w:r>
            <w:r>
              <w:rPr>
                <w:rFonts w:hint="eastAsia" w:ascii="宋体" w:hAnsi="宋体" w:cs="宋体"/>
                <w:b/>
                <w:bCs/>
                <w:sz w:val="24"/>
              </w:rPr>
              <w:t>万元，响应首轮报价及二次报价均不得超过预算价，否则视为无效投标。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4" w:hRule="atLeast"/>
        </w:trPr>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评标办法</w:t>
            </w:r>
          </w:p>
        </w:tc>
        <w:tc>
          <w:tcPr>
            <w:tcW w:w="8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评标办法：采用百分制综合评分办法。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22" w:hRule="atLeast"/>
        </w:trPr>
        <w:tc>
          <w:tcPr>
            <w:tcW w:w="0" w:type="auto"/>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bCs/>
                <w:kern w:val="2"/>
                <w:sz w:val="24"/>
                <w:lang w:val="en-US" w:eastAsia="zh-CN" w:bidi="ar-SA"/>
              </w:rPr>
            </w:pPr>
            <w:r>
              <w:rPr>
                <w:rFonts w:hint="eastAsia" w:ascii="宋体" w:hAnsi="宋体" w:cs="宋体"/>
                <w:b/>
                <w:bCs/>
                <w:sz w:val="24"/>
              </w:rPr>
              <w:t>其他信息</w:t>
            </w:r>
          </w:p>
        </w:tc>
        <w:tc>
          <w:tcPr>
            <w:tcW w:w="0" w:type="auto"/>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b/>
                <w:bCs/>
                <w:kern w:val="2"/>
                <w:sz w:val="24"/>
                <w:lang w:val="en-US" w:eastAsia="zh-CN" w:bidi="ar-SA"/>
              </w:rPr>
            </w:pPr>
            <w:r>
              <w:rPr>
                <w:rFonts w:hint="eastAsia" w:ascii="宋体" w:hAnsi="宋体" w:cs="宋体"/>
                <w:b/>
                <w:bCs/>
                <w:sz w:val="24"/>
              </w:rPr>
              <w:t>有关本项目</w:t>
            </w:r>
            <w:r>
              <w:rPr>
                <w:rFonts w:hint="eastAsia" w:ascii="宋体" w:hAnsi="宋体" w:cs="宋体"/>
                <w:b/>
                <w:bCs/>
                <w:sz w:val="24"/>
                <w:lang w:val="en-US" w:eastAsia="zh-CN"/>
              </w:rPr>
              <w:t>竞争性磋商</w:t>
            </w:r>
            <w:r>
              <w:rPr>
                <w:rFonts w:hint="eastAsia" w:ascii="宋体" w:hAnsi="宋体" w:cs="宋体"/>
                <w:b/>
                <w:bCs/>
                <w:sz w:val="24"/>
              </w:rPr>
              <w:t>的重要信息，请随时查阅内蒙古自治区通信管理局官网（https://nmca.miit.gov.cn/）</w:t>
            </w:r>
            <w:r>
              <w:rPr>
                <w:rFonts w:hint="eastAsia" w:ascii="宋体" w:hAnsi="宋体" w:cs="宋体"/>
                <w:b/>
                <w:bCs/>
                <w:sz w:val="24"/>
                <w:lang w:eastAsia="zh-CN"/>
              </w:rPr>
              <w:t>相关</w:t>
            </w:r>
            <w:r>
              <w:rPr>
                <w:rFonts w:hint="eastAsia" w:ascii="宋体" w:hAnsi="宋体" w:cs="宋体"/>
                <w:b/>
                <w:bCs/>
                <w:sz w:val="24"/>
              </w:rPr>
              <w:t>公告。</w:t>
            </w:r>
          </w:p>
        </w:tc>
      </w:tr>
    </w:tbl>
    <w:p>
      <w:pPr>
        <w:pStyle w:val="3"/>
        <w:numPr>
          <w:ilvl w:val="0"/>
          <w:numId w:val="0"/>
        </w:numPr>
        <w:spacing w:before="0" w:after="0" w:line="360" w:lineRule="auto"/>
        <w:jc w:val="both"/>
        <w:rPr>
          <w:rFonts w:hint="eastAsia"/>
        </w:rPr>
      </w:pPr>
      <w:r>
        <w:rPr>
          <w:rFonts w:hint="eastAsia" w:ascii="宋体" w:hAnsi="宋体" w:cs="宋体"/>
          <w:sz w:val="24"/>
          <w:szCs w:val="24"/>
          <w:highlight w:val="none"/>
        </w:rPr>
        <w:br w:type="page"/>
      </w:r>
      <w:bookmarkStart w:id="10" w:name="_Toc380479087"/>
      <w:r>
        <w:rPr>
          <w:rFonts w:hint="default" w:ascii="宋体" w:hAnsi="宋体" w:cs="宋体"/>
          <w:sz w:val="24"/>
          <w:szCs w:val="24"/>
          <w:highlight w:val="none"/>
          <w:lang w:val="en"/>
        </w:rPr>
        <w:t xml:space="preserve">    </w:t>
      </w:r>
      <w:r>
        <w:rPr>
          <w:rFonts w:hint="eastAsia" w:ascii="宋体" w:hAnsi="宋体" w:cs="宋体"/>
          <w:sz w:val="24"/>
          <w:szCs w:val="24"/>
          <w:highlight w:val="none"/>
          <w:lang w:eastAsia="zh-CN"/>
        </w:rPr>
        <w:t>一、</w:t>
      </w:r>
      <w:r>
        <w:rPr>
          <w:rFonts w:hint="eastAsia" w:ascii="宋体" w:hAnsi="宋体" w:cs="宋体"/>
          <w:sz w:val="28"/>
          <w:szCs w:val="28"/>
          <w:highlight w:val="none"/>
        </w:rPr>
        <w:t>总则</w:t>
      </w:r>
      <w:bookmarkEnd w:id="10"/>
      <w:bookmarkStart w:id="11" w:name="_Toc380479088"/>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1．项目简介</w:t>
      </w:r>
      <w:bookmarkEnd w:id="11"/>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采购人名称、地址及联系方式：见</w:t>
      </w:r>
      <w:r>
        <w:rPr>
          <w:rFonts w:hint="eastAsia" w:ascii="宋体" w:hAnsi="宋体" w:cs="宋体"/>
          <w:sz w:val="24"/>
          <w:szCs w:val="24"/>
          <w:highlight w:val="none"/>
          <w:u w:val="single"/>
        </w:rPr>
        <w:t>前附表</w:t>
      </w:r>
      <w:r>
        <w:rPr>
          <w:rFonts w:hint="eastAsia" w:ascii="宋体" w:hAnsi="宋体" w:cs="宋体"/>
          <w:sz w:val="24"/>
          <w:szCs w:val="24"/>
          <w:highlight w:val="none"/>
        </w:rPr>
        <w:t>。</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项目名称：见第一章。</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采购方式：竞争性磋商。</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采购预算控制金额：见第一章。</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bookmarkStart w:id="12" w:name="_Toc380479089"/>
      <w:r>
        <w:rPr>
          <w:rFonts w:hint="eastAsia" w:ascii="宋体" w:hAnsi="宋体" w:cs="宋体"/>
          <w:sz w:val="24"/>
          <w:szCs w:val="24"/>
          <w:highlight w:val="none"/>
        </w:rPr>
        <w:t>2．合格供应商资格条件</w:t>
      </w:r>
      <w:bookmarkEnd w:id="12"/>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满足以下条件的供应商是合格的磋商供应商，可以参加本次竞争性磋商： </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（1）在中华人民共和国境内注册，能够独立承担民事责任，有生产或供应能力的本国供应商，包括法人、非法人组织或者自然人。</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（2）具备《中华人民共和国政府采购法》第二十二条关于供应商条件的规定，遵守国家、本项目采购人本级和上级财政部门政府采购的有关规定。</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（3）从</w:t>
      </w:r>
      <w:r>
        <w:rPr>
          <w:rFonts w:hint="eastAsia" w:ascii="宋体" w:hAnsi="宋体" w:cs="宋体"/>
          <w:sz w:val="24"/>
          <w:szCs w:val="24"/>
          <w:highlight w:val="none"/>
          <w:lang w:eastAsia="zh-CN"/>
        </w:rPr>
        <w:t>采购人官网公示途径</w:t>
      </w:r>
      <w:r>
        <w:rPr>
          <w:rFonts w:hint="eastAsia" w:ascii="宋体" w:hAnsi="宋体" w:cs="宋体"/>
          <w:sz w:val="24"/>
          <w:szCs w:val="24"/>
          <w:highlight w:val="none"/>
        </w:rPr>
        <w:t>正式获得了本项目的竞争性磋商文件。</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（4）符合</w:t>
      </w:r>
      <w:r>
        <w:rPr>
          <w:rFonts w:hint="eastAsia" w:ascii="宋体" w:hAnsi="宋体" w:cs="宋体"/>
          <w:sz w:val="24"/>
          <w:szCs w:val="24"/>
          <w:highlight w:val="none"/>
          <w:u w:val="single"/>
        </w:rPr>
        <w:t>前附表</w:t>
      </w:r>
      <w:r>
        <w:rPr>
          <w:rFonts w:hint="eastAsia" w:ascii="宋体" w:hAnsi="宋体" w:cs="宋体"/>
          <w:sz w:val="24"/>
          <w:szCs w:val="24"/>
          <w:highlight w:val="none"/>
        </w:rPr>
        <w:t>中规定的其他要求。</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（5）如经财政主管部门批准可以采购进口产品，将在</w:t>
      </w:r>
      <w:r>
        <w:rPr>
          <w:rFonts w:hint="eastAsia" w:ascii="宋体" w:hAnsi="宋体" w:cs="宋体"/>
          <w:sz w:val="24"/>
          <w:szCs w:val="24"/>
          <w:highlight w:val="none"/>
          <w:u w:val="single"/>
        </w:rPr>
        <w:t>前附表</w:t>
      </w:r>
      <w:r>
        <w:rPr>
          <w:rFonts w:hint="eastAsia" w:ascii="宋体" w:hAnsi="宋体" w:cs="宋体"/>
          <w:sz w:val="24"/>
          <w:szCs w:val="24"/>
          <w:highlight w:val="none"/>
        </w:rPr>
        <w:t>中写明。但供应商应保证所投产品可履行合法报通关手续进入中国关境内。若</w:t>
      </w:r>
      <w:r>
        <w:rPr>
          <w:rFonts w:hint="eastAsia" w:ascii="宋体" w:hAnsi="宋体" w:cs="宋体"/>
          <w:sz w:val="24"/>
          <w:szCs w:val="24"/>
          <w:highlight w:val="none"/>
          <w:u w:val="single"/>
        </w:rPr>
        <w:t>前附表</w:t>
      </w:r>
      <w:r>
        <w:rPr>
          <w:rFonts w:hint="eastAsia" w:ascii="宋体" w:hAnsi="宋体" w:cs="宋体"/>
          <w:sz w:val="24"/>
          <w:szCs w:val="24"/>
          <w:highlight w:val="none"/>
        </w:rPr>
        <w:t>中未写明允许采购进口产品，如供应商所投产品为进口产品，其响应文件将作为无效文件被拒绝。</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（6）若</w:t>
      </w:r>
      <w:r>
        <w:rPr>
          <w:rFonts w:hint="eastAsia" w:ascii="宋体" w:hAnsi="宋体" w:cs="宋体"/>
          <w:sz w:val="24"/>
          <w:szCs w:val="24"/>
          <w:highlight w:val="none"/>
          <w:u w:val="single"/>
        </w:rPr>
        <w:t>前附表</w:t>
      </w:r>
      <w:r>
        <w:rPr>
          <w:rFonts w:hint="eastAsia" w:ascii="宋体" w:hAnsi="宋体" w:cs="宋体"/>
          <w:sz w:val="24"/>
          <w:szCs w:val="24"/>
          <w:highlight w:val="none"/>
        </w:rPr>
        <w:t>中写明专门面向中小企业采购的，如供应商所报产品为非中小企业产品或非中小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ascii="宋体" w:hAnsi="宋体" w:cs="宋体"/>
          <w:sz w:val="24"/>
          <w:szCs w:val="24"/>
        </w:rPr>
        <w:t>2011]300号）确定企业类型；也可在工业和信息化部网站（https://www.miit.gov.cn/）的“中小企业规模类型自测小程序”自助查询到企业类型。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（7）标的所属行业见</w:t>
      </w:r>
      <w:r>
        <w:rPr>
          <w:rFonts w:hint="eastAsia" w:ascii="宋体" w:hAnsi="宋体" w:cs="宋体"/>
          <w:sz w:val="24"/>
          <w:szCs w:val="24"/>
          <w:u w:val="single"/>
        </w:rPr>
        <w:t>前附表</w:t>
      </w:r>
      <w:r>
        <w:rPr>
          <w:rFonts w:hint="eastAsia" w:ascii="宋体" w:hAnsi="宋体" w:cs="宋体"/>
          <w:sz w:val="24"/>
          <w:szCs w:val="24"/>
        </w:rPr>
        <w:t>。</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（8）本项目是否面向中小企业采购预留份额、措施及比例见</w:t>
      </w:r>
      <w:r>
        <w:rPr>
          <w:rFonts w:hint="eastAsia" w:ascii="宋体" w:hAnsi="宋体" w:cs="宋体"/>
          <w:sz w:val="24"/>
          <w:szCs w:val="24"/>
          <w:u w:val="single"/>
        </w:rPr>
        <w:t>前附表</w:t>
      </w:r>
      <w:r>
        <w:rPr>
          <w:rFonts w:hint="eastAsia" w:ascii="宋体" w:hAnsi="宋体" w:cs="宋体"/>
          <w:sz w:val="24"/>
          <w:szCs w:val="24"/>
        </w:rPr>
        <w:t>，若</w:t>
      </w:r>
      <w:r>
        <w:rPr>
          <w:rFonts w:hint="eastAsia" w:ascii="宋体" w:hAnsi="宋体" w:cs="宋体"/>
          <w:sz w:val="24"/>
          <w:szCs w:val="24"/>
          <w:u w:val="single"/>
        </w:rPr>
        <w:t>前附表</w:t>
      </w:r>
      <w:r>
        <w:rPr>
          <w:rFonts w:hint="eastAsia" w:ascii="宋体" w:hAnsi="宋体" w:cs="宋体"/>
          <w:sz w:val="24"/>
          <w:szCs w:val="24"/>
        </w:rPr>
        <w:t>中写明面向中小企业采购预留份额的，未达到上述比例其响应文件将作为无效文件被拒绝。承接企业如为监狱企业或残疾人福利性单位的，视同为小型、微型企业。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（9）享受中小企业扶持政策获得政府采购合同的，小微企业不得将合同分包给大中型企业，中型企业不得将合同分包给大型企业。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 如</w:t>
      </w:r>
      <w:r>
        <w:rPr>
          <w:rFonts w:hint="eastAsia" w:ascii="宋体" w:hAnsi="宋体" w:cs="宋体"/>
          <w:sz w:val="24"/>
          <w:szCs w:val="24"/>
          <w:u w:val="single"/>
        </w:rPr>
        <w:t>前附表</w:t>
      </w:r>
      <w:r>
        <w:rPr>
          <w:rFonts w:hint="eastAsia" w:ascii="宋体" w:hAnsi="宋体" w:cs="宋体"/>
          <w:sz w:val="24"/>
          <w:szCs w:val="24"/>
        </w:rPr>
        <w:t>中允许联合体参加磋商，对联合体规定如下：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（1）两个以上供应商可以组成一个联合体，以一个供应商的身份磋商。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（2）联合体各方均应符合《中华人民共和国政府采购法》第二十二条规定的条件。</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（3）采购人根据采购项目对供应商的特殊要求，联合体中至少应当有一方符合其规定。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（4）联合体各方应签订共同磋商协议，明确约定联合体各方承担的工作和相应的责任，并将共同磋商协议连同响应文件一并提交。</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（6）联合体各方签订共同磋商协议后，不得再以自己名义单独在同一项目的同一分包（或标段）中磋商，也不得组成新的联合体参加同一项目的同一分包（或标段）磋商。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（7）联合体各方在同一磋商项目的同一分包（或标段）中以自己名义单独磋商或者参加其他联合体磋商的，相关磋商响应文件均无效。</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（8）对联合体的其他资格要求见</w:t>
      </w:r>
      <w:r>
        <w:rPr>
          <w:rFonts w:hint="eastAsia" w:ascii="宋体" w:hAnsi="宋体" w:cs="宋体"/>
          <w:sz w:val="24"/>
          <w:szCs w:val="24"/>
          <w:u w:val="single"/>
        </w:rPr>
        <w:t>前附表</w:t>
      </w:r>
      <w:r>
        <w:rPr>
          <w:rFonts w:hint="eastAsia" w:ascii="宋体" w:hAnsi="宋体" w:cs="宋体"/>
          <w:sz w:val="24"/>
          <w:szCs w:val="24"/>
        </w:rPr>
        <w:t>。</w:t>
      </w:r>
    </w:p>
    <w:p>
      <w:pPr>
        <w:pStyle w:val="16"/>
        <w:spacing w:line="360" w:lineRule="auto"/>
        <w:rPr>
          <w:rFonts w:hint="eastAsia" w:ascii="宋体" w:hAnsi="宋体" w:cs="宋体"/>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3" w:name="_Toc380479091"/>
      <w:r>
        <w:rPr>
          <w:rFonts w:hint="eastAsia" w:ascii="宋体" w:hAnsi="宋体" w:cs="宋体"/>
          <w:sz w:val="28"/>
          <w:szCs w:val="28"/>
          <w:lang w:eastAsia="zh-CN"/>
        </w:rPr>
        <w:t>二、</w:t>
      </w:r>
      <w:r>
        <w:rPr>
          <w:rFonts w:hint="eastAsia" w:ascii="宋体" w:hAnsi="宋体" w:cs="宋体"/>
          <w:sz w:val="28"/>
          <w:szCs w:val="28"/>
        </w:rPr>
        <w:t>磋商文件</w:t>
      </w:r>
      <w:bookmarkEnd w:id="13"/>
      <w:bookmarkStart w:id="14" w:name="_Toc380479092"/>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．磋商文件构成</w:t>
      </w:r>
      <w:bookmarkEnd w:id="14"/>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.1 </w:t>
      </w:r>
      <w:r>
        <w:rPr>
          <w:rFonts w:hint="eastAsia" w:ascii="宋体" w:hAnsi="宋体" w:cs="宋体"/>
          <w:sz w:val="24"/>
          <w:szCs w:val="24"/>
        </w:rPr>
        <w:t>磋商文件包括：采购邀请（含采购公告）、磋商供应商须知、</w:t>
      </w:r>
      <w:r>
        <w:rPr>
          <w:rFonts w:hint="eastAsia" w:ascii="宋体" w:hAnsi="宋体" w:cs="宋体"/>
          <w:sz w:val="24"/>
          <w:szCs w:val="24"/>
          <w:lang w:val="en-US" w:eastAsia="zh-CN"/>
        </w:rPr>
        <w:t>评审原则和方法、</w:t>
      </w:r>
      <w:r>
        <w:rPr>
          <w:rFonts w:hint="eastAsia" w:ascii="宋体" w:hAnsi="宋体" w:cs="宋体"/>
          <w:sz w:val="24"/>
          <w:szCs w:val="24"/>
        </w:rPr>
        <w:t>采购需求、合同条款、磋商响应文件格式。</w:t>
      </w:r>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.2 </w:t>
      </w:r>
      <w:r>
        <w:rPr>
          <w:rFonts w:hint="eastAsia" w:ascii="宋体" w:hAnsi="宋体" w:cs="宋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5" w:name="_Toc380479093"/>
      <w:r>
        <w:rPr>
          <w:rFonts w:hint="eastAsia" w:ascii="宋体" w:hAnsi="宋体" w:cs="宋体"/>
          <w:sz w:val="24"/>
          <w:szCs w:val="24"/>
          <w:lang w:val="en-US" w:eastAsia="zh-CN"/>
        </w:rPr>
        <w:t>4</w:t>
      </w:r>
      <w:r>
        <w:rPr>
          <w:rFonts w:hint="eastAsia" w:ascii="宋体" w:hAnsi="宋体" w:cs="宋体"/>
          <w:sz w:val="24"/>
          <w:szCs w:val="24"/>
        </w:rPr>
        <w:t>．磋商文件的澄清或者修改</w:t>
      </w:r>
      <w:bookmarkEnd w:id="15"/>
    </w:p>
    <w:p>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lang w:val="en-US" w:eastAsia="zh-CN"/>
        </w:rPr>
        <w:t>4</w:t>
      </w:r>
      <w:r>
        <w:rPr>
          <w:rFonts w:hint="eastAsia" w:ascii="宋体" w:hAnsi="宋体" w:cs="宋体"/>
          <w:sz w:val="24"/>
          <w:szCs w:val="24"/>
        </w:rPr>
        <w:t>.1 在首次提交响应文件截止时间前，</w:t>
      </w:r>
      <w:r>
        <w:rPr>
          <w:rFonts w:hint="eastAsia" w:ascii="宋体" w:hAnsi="宋体" w:cs="宋体"/>
          <w:kern w:val="0"/>
          <w:sz w:val="24"/>
          <w:szCs w:val="24"/>
        </w:rPr>
        <w:t>采购人或者磋商小组可以对已发出的磋商文件进行必要的澄清或者修改，并由</w:t>
      </w:r>
      <w:r>
        <w:rPr>
          <w:rFonts w:hint="eastAsia" w:ascii="宋体" w:hAnsi="宋体" w:cs="宋体"/>
          <w:kern w:val="0"/>
          <w:sz w:val="24"/>
          <w:szCs w:val="24"/>
          <w:lang w:eastAsia="zh-CN"/>
        </w:rPr>
        <w:t>采购人</w:t>
      </w:r>
      <w:r>
        <w:rPr>
          <w:rFonts w:hint="eastAsia" w:ascii="宋体" w:hAnsi="宋体" w:cs="宋体"/>
          <w:kern w:val="0"/>
          <w:sz w:val="24"/>
          <w:szCs w:val="24"/>
        </w:rPr>
        <w:t>发出。澄清或者修改的内容作为磋商文件的组成部分。</w:t>
      </w:r>
      <w:r>
        <w:rPr>
          <w:rFonts w:hint="eastAsia" w:ascii="宋体" w:hAnsi="宋体" w:cs="宋体"/>
          <w:sz w:val="24"/>
          <w:szCs w:val="24"/>
        </w:rPr>
        <w:t>对磋商文件的修改，将以书面形式通知已获取磋商文件的每一磋商供应商。</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.2澄清或者修改的内容可能影响响应文件编制的，</w:t>
      </w:r>
      <w:r>
        <w:rPr>
          <w:rFonts w:hint="eastAsia" w:ascii="宋体" w:hAnsi="宋体" w:cs="宋体"/>
          <w:sz w:val="24"/>
          <w:szCs w:val="24"/>
          <w:lang w:eastAsia="zh-CN"/>
        </w:rPr>
        <w:t>采购人</w:t>
      </w:r>
      <w:r>
        <w:rPr>
          <w:rFonts w:hint="eastAsia" w:ascii="宋体" w:hAnsi="宋体" w:cs="宋体"/>
          <w:sz w:val="24"/>
          <w:szCs w:val="24"/>
        </w:rPr>
        <w:t>将在提交首次响应文件截止之日</w:t>
      </w:r>
      <w:r>
        <w:rPr>
          <w:rFonts w:hint="eastAsia" w:ascii="宋体" w:hAnsi="宋体" w:cs="宋体"/>
          <w:sz w:val="24"/>
          <w:szCs w:val="24"/>
          <w:lang w:val="en-US" w:eastAsia="zh-CN"/>
        </w:rPr>
        <w:t>5</w:t>
      </w:r>
      <w:r>
        <w:rPr>
          <w:rFonts w:hint="eastAsia" w:ascii="宋体" w:hAnsi="宋体" w:cs="宋体"/>
          <w:sz w:val="24"/>
          <w:szCs w:val="24"/>
        </w:rPr>
        <w:t>日前通知，不足5日的，将相应顺延提交首次响应文件截止时间。</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4</w:t>
      </w:r>
      <w:r>
        <w:rPr>
          <w:rFonts w:hint="eastAsia" w:ascii="宋体" w:hAnsi="宋体" w:cs="宋体"/>
          <w:sz w:val="24"/>
          <w:szCs w:val="24"/>
        </w:rPr>
        <w:t>.3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60" w:lineRule="auto"/>
        <w:ind w:firstLine="562" w:firstLineChars="200"/>
        <w:rPr>
          <w:rFonts w:hint="eastAsia" w:ascii="宋体" w:hAnsi="宋体" w:cs="宋体"/>
          <w:b/>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6" w:name="_Toc380479094"/>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rPr>
        <w:t>响应文件的编制</w:t>
      </w:r>
      <w:bookmarkEnd w:id="16"/>
      <w:bookmarkStart w:id="17" w:name="_Toc380479095"/>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．响应文件的构成</w:t>
      </w:r>
      <w:bookmarkEnd w:id="17"/>
    </w:p>
    <w:p>
      <w:pPr>
        <w:pStyle w:val="19"/>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按照磋商文件的要求，磋商供应商首次编制的响应文件具体构成如下（包括但不限于）：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二、法定代表人授权委托书</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三、响应首轮报价表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四、分项报价明细表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五、商务条款应答表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七、资格证明文件</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八、项目方案</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、其他内容</w:t>
      </w:r>
    </w:p>
    <w:p>
      <w:pPr>
        <w:snapToGrid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十、残疾人福利性单位声明函</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8" w:name="_Toc380479096"/>
      <w:r>
        <w:rPr>
          <w:rFonts w:hint="eastAsia" w:ascii="宋体" w:hAnsi="宋体" w:cs="宋体"/>
          <w:sz w:val="24"/>
          <w:szCs w:val="24"/>
          <w:lang w:val="en-US" w:eastAsia="zh-CN"/>
        </w:rPr>
        <w:t>6</w:t>
      </w:r>
      <w:r>
        <w:rPr>
          <w:rFonts w:hint="eastAsia" w:ascii="宋体" w:hAnsi="宋体" w:cs="宋体"/>
          <w:sz w:val="24"/>
          <w:szCs w:val="24"/>
        </w:rPr>
        <w:t>．报价</w:t>
      </w:r>
      <w:bookmarkEnd w:id="18"/>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在提交响应文件时，供应商要按照磋商文件给出的格式提供报价函；在磋商结束后，供应商按照磋商小组的要求及磋商文件给出的格式提供报价函和最后报价表。报价货币应为人民币。</w:t>
      </w:r>
    </w:p>
    <w:p>
      <w:pPr>
        <w:snapToGrid w:val="0"/>
        <w:spacing w:line="360" w:lineRule="auto"/>
        <w:ind w:firstLine="480" w:firstLineChars="200"/>
        <w:rPr>
          <w:rFonts w:hint="eastAsia" w:ascii="宋体" w:hAnsi="宋体" w:cs="宋体"/>
          <w:bCs/>
          <w:sz w:val="24"/>
          <w:szCs w:val="24"/>
        </w:rPr>
      </w:pPr>
      <w:r>
        <w:rPr>
          <w:rFonts w:hint="eastAsia" w:ascii="宋体" w:hAnsi="宋体" w:cs="宋体"/>
          <w:sz w:val="24"/>
          <w:szCs w:val="24"/>
          <w:lang w:val="en-US" w:eastAsia="zh-CN"/>
        </w:rPr>
        <w:t>6</w:t>
      </w:r>
      <w:r>
        <w:rPr>
          <w:rFonts w:hint="eastAsia" w:ascii="宋体" w:hAnsi="宋体" w:cs="宋体"/>
          <w:sz w:val="24"/>
          <w:szCs w:val="24"/>
        </w:rPr>
        <w:t>.2 如</w:t>
      </w:r>
      <w:r>
        <w:rPr>
          <w:rFonts w:hint="eastAsia" w:ascii="宋体" w:hAnsi="宋体" w:cs="宋体"/>
          <w:sz w:val="24"/>
          <w:szCs w:val="24"/>
          <w:u w:val="single"/>
        </w:rPr>
        <w:t>前附表</w:t>
      </w:r>
      <w:r>
        <w:rPr>
          <w:rFonts w:hint="eastAsia" w:ascii="宋体" w:hAnsi="宋体" w:cs="宋体"/>
          <w:sz w:val="24"/>
          <w:szCs w:val="24"/>
        </w:rPr>
        <w:t>中写明允许采购进口产品的，进口产品应当采用人民币报价。</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每种货物或服务只能有一个报价，不接受具有附加条件的报价，否则其响应文件将作为无效处理。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9" w:name="_Toc380479097"/>
      <w:r>
        <w:rPr>
          <w:rFonts w:hint="eastAsia" w:ascii="宋体" w:hAnsi="宋体" w:cs="宋体"/>
          <w:sz w:val="24"/>
          <w:szCs w:val="24"/>
          <w:lang w:val="en-US" w:eastAsia="zh-CN"/>
        </w:rPr>
        <w:t>7</w:t>
      </w:r>
      <w:r>
        <w:rPr>
          <w:rFonts w:hint="eastAsia" w:ascii="宋体" w:hAnsi="宋体" w:cs="宋体"/>
          <w:sz w:val="24"/>
          <w:szCs w:val="24"/>
        </w:rPr>
        <w:t>. 响应文件有效期</w:t>
      </w:r>
      <w:bookmarkEnd w:id="19"/>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7</w:t>
      </w:r>
      <w:r>
        <w:rPr>
          <w:rFonts w:hint="eastAsia" w:ascii="宋体" w:hAnsi="宋体" w:cs="宋体"/>
          <w:sz w:val="24"/>
          <w:szCs w:val="24"/>
        </w:rPr>
        <w:t>.1 响应文件应自首次提交之日起，按照</w:t>
      </w:r>
      <w:r>
        <w:rPr>
          <w:rFonts w:hint="eastAsia" w:ascii="宋体" w:hAnsi="宋体" w:cs="宋体"/>
          <w:sz w:val="24"/>
          <w:szCs w:val="24"/>
          <w:u w:val="single"/>
        </w:rPr>
        <w:t>前附表</w:t>
      </w:r>
      <w:r>
        <w:rPr>
          <w:rFonts w:hint="eastAsia" w:ascii="宋体" w:hAnsi="宋体" w:cs="宋体"/>
          <w:sz w:val="24"/>
          <w:szCs w:val="24"/>
        </w:rPr>
        <w:t>中规定时间内保持有效，有效期短于要求的响应文件将按无效处理。</w:t>
      </w:r>
    </w:p>
    <w:p>
      <w:pPr>
        <w:spacing w:line="360" w:lineRule="auto"/>
        <w:rPr>
          <w:rFonts w:hint="eastAsia" w:ascii="宋体" w:hAnsi="宋体" w:cs="宋体"/>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0" w:name="_Toc380479098"/>
      <w:r>
        <w:rPr>
          <w:rFonts w:hint="eastAsia" w:ascii="宋体" w:hAnsi="宋体" w:cs="宋体"/>
          <w:sz w:val="28"/>
          <w:szCs w:val="28"/>
        </w:rPr>
        <w:t>四</w:t>
      </w:r>
      <w:r>
        <w:rPr>
          <w:rFonts w:hint="eastAsia" w:ascii="宋体" w:hAnsi="宋体" w:cs="宋体"/>
          <w:sz w:val="28"/>
          <w:szCs w:val="28"/>
          <w:lang w:eastAsia="zh-CN"/>
        </w:rPr>
        <w:t>、</w:t>
      </w:r>
      <w:r>
        <w:rPr>
          <w:rFonts w:hint="eastAsia" w:ascii="宋体" w:hAnsi="宋体" w:cs="宋体"/>
          <w:sz w:val="28"/>
          <w:szCs w:val="28"/>
        </w:rPr>
        <w:t>响应文件的签署规定和递交</w:t>
      </w:r>
      <w:bookmarkEnd w:id="20"/>
      <w:bookmarkStart w:id="21" w:name="_Toc380479099"/>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．响应文件签署及规定</w:t>
      </w:r>
      <w:bookmarkEnd w:id="21"/>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磋商供应商应按</w:t>
      </w:r>
      <w:r>
        <w:rPr>
          <w:rFonts w:hint="eastAsia" w:ascii="宋体" w:hAnsi="宋体" w:cs="宋体"/>
          <w:sz w:val="24"/>
          <w:szCs w:val="24"/>
          <w:u w:val="single"/>
        </w:rPr>
        <w:t>前附表</w:t>
      </w:r>
      <w:r>
        <w:rPr>
          <w:rFonts w:hint="eastAsia" w:ascii="宋体" w:hAnsi="宋体" w:cs="宋体"/>
          <w:sz w:val="24"/>
          <w:szCs w:val="24"/>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.3 供应商在提交响应文件截止时间前，可以对所提交的响应文件进行补充、修改或者撤回，并书面通知</w:t>
      </w:r>
      <w:r>
        <w:rPr>
          <w:rFonts w:hint="eastAsia" w:ascii="宋体" w:hAnsi="宋体" w:cs="宋体"/>
          <w:sz w:val="24"/>
          <w:szCs w:val="24"/>
          <w:lang w:eastAsia="zh-CN"/>
        </w:rPr>
        <w:t>内蒙古通信管理局</w:t>
      </w:r>
      <w:r>
        <w:rPr>
          <w:rFonts w:hint="eastAsia" w:ascii="宋体" w:hAnsi="宋体" w:cs="宋体"/>
          <w:sz w:val="24"/>
          <w:szCs w:val="24"/>
        </w:rPr>
        <w:t>。补充、修改的内容作为响应文件的组成部分。补充、修改的内容与响应文件不一致的，以补充、修改的内容为准。</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.4 供应商根据磋商小组的要求对响应文件中含义不明确、同类问题表述不一致或者有明显文字和计算错误的内容等做出的澄清、说明或者更正，以及磋商中根据磋商文件实质性变动重新提交的响应文件，其签署规定同</w:t>
      </w:r>
      <w:r>
        <w:rPr>
          <w:rFonts w:hint="eastAsia" w:ascii="宋体" w:hAnsi="宋体" w:cs="宋体"/>
          <w:sz w:val="24"/>
          <w:szCs w:val="24"/>
          <w:lang w:val="en-US" w:eastAsia="zh-CN"/>
        </w:rPr>
        <w:t>8</w:t>
      </w:r>
      <w:r>
        <w:rPr>
          <w:rFonts w:hint="eastAsia" w:ascii="宋体" w:hAnsi="宋体" w:cs="宋体"/>
          <w:sz w:val="24"/>
          <w:szCs w:val="24"/>
        </w:rPr>
        <w:t>.2款要求。</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22" w:name="_Toc380479100"/>
      <w:r>
        <w:rPr>
          <w:rFonts w:hint="eastAsia" w:ascii="宋体" w:hAnsi="宋体" w:cs="宋体"/>
          <w:sz w:val="24"/>
          <w:szCs w:val="24"/>
          <w:lang w:val="en-US" w:eastAsia="zh-CN"/>
        </w:rPr>
        <w:t>9</w:t>
      </w:r>
      <w:r>
        <w:rPr>
          <w:rFonts w:hint="eastAsia" w:ascii="宋体" w:hAnsi="宋体" w:cs="宋体"/>
          <w:sz w:val="24"/>
          <w:szCs w:val="24"/>
        </w:rPr>
        <w:t>．响应文件的递交</w:t>
      </w:r>
      <w:bookmarkEnd w:id="22"/>
    </w:p>
    <w:p>
      <w:pPr>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lang w:val="en-US" w:eastAsia="zh-CN"/>
        </w:rPr>
        <w:t>9</w:t>
      </w:r>
      <w:r>
        <w:rPr>
          <w:rFonts w:hint="eastAsia" w:ascii="宋体" w:hAnsi="宋体" w:cs="宋体"/>
          <w:sz w:val="24"/>
          <w:szCs w:val="24"/>
        </w:rPr>
        <w:t>.1 响应文件的正本、所有副本、电子版应分别密封递交，并于封套上注明响应文件正本、响应文件副本、响应文件电子版文档，磋商供应商名称及项目名称。首次提交的响应文件必须</w:t>
      </w:r>
      <w:r>
        <w:rPr>
          <w:rFonts w:hint="eastAsia" w:ascii="宋体" w:hAnsi="宋体" w:cs="宋体"/>
          <w:kern w:val="0"/>
          <w:sz w:val="24"/>
          <w:szCs w:val="24"/>
        </w:rPr>
        <w:t>在第一章规定的截止时间前密封送达到指定地点。在截止时间后送达的响应文件为无效文件，</w:t>
      </w:r>
      <w:r>
        <w:rPr>
          <w:rFonts w:hint="eastAsia" w:ascii="宋体" w:hAnsi="宋体" w:cs="宋体"/>
          <w:kern w:val="0"/>
          <w:sz w:val="24"/>
          <w:szCs w:val="24"/>
          <w:lang w:eastAsia="zh-CN"/>
        </w:rPr>
        <w:t>采购人</w:t>
      </w:r>
      <w:r>
        <w:rPr>
          <w:rFonts w:hint="eastAsia" w:ascii="宋体" w:hAnsi="宋体" w:cs="宋体"/>
          <w:kern w:val="0"/>
          <w:sz w:val="24"/>
          <w:szCs w:val="24"/>
        </w:rPr>
        <w:t>将拒收。</w:t>
      </w:r>
    </w:p>
    <w:p>
      <w:pPr>
        <w:pStyle w:val="2"/>
        <w:spacing w:line="360" w:lineRule="auto"/>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3" w:name="_Toc380479101"/>
      <w:r>
        <w:rPr>
          <w:rFonts w:hint="eastAsia" w:ascii="宋体" w:hAnsi="宋体" w:cs="宋体"/>
          <w:sz w:val="28"/>
          <w:szCs w:val="28"/>
        </w:rPr>
        <w:t>五</w:t>
      </w:r>
      <w:bookmarkEnd w:id="23"/>
      <w:bookmarkStart w:id="24" w:name="_Toc380479105"/>
      <w:r>
        <w:rPr>
          <w:rFonts w:hint="eastAsia" w:ascii="宋体" w:hAnsi="宋体" w:cs="宋体"/>
          <w:sz w:val="28"/>
          <w:szCs w:val="28"/>
          <w:lang w:eastAsia="zh-CN"/>
        </w:rPr>
        <w:t>、</w:t>
      </w:r>
      <w:r>
        <w:rPr>
          <w:rFonts w:hint="eastAsia" w:ascii="宋体" w:hAnsi="宋体" w:cs="宋体"/>
          <w:sz w:val="28"/>
          <w:szCs w:val="28"/>
        </w:rPr>
        <w:t>评审和磋商</w:t>
      </w:r>
      <w:bookmarkEnd w:id="24"/>
      <w:bookmarkStart w:id="25" w:name="_Toc380479106"/>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．响应文件的评审与澄清</w:t>
      </w:r>
      <w:bookmarkEnd w:id="25"/>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.1磋商小组在确认了磋商文件后，按照磋商文件规定的资格条件对供应商进行资格审查，符合资格条件的供应商将被认定为参加磋商的供应商。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.2磋商小组按照磋商文件规定的除资格条件外的其它实质性条款，对参加磋商的供应商进行有效性、完整性和响应程度的审查。未实质性响应磋商文件的供应商将按无效处理，不参加后续磋商。</w:t>
      </w:r>
    </w:p>
    <w:p>
      <w:pPr>
        <w:widowControl/>
        <w:snapToGrid w:val="0"/>
        <w:spacing w:line="360" w:lineRule="auto"/>
        <w:ind w:firstLine="481" w:firstLineChars="200"/>
        <w:jc w:val="both"/>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.3采购人将在截止递交响应文件前一天至递交响应文件截止时间后一小时期间查询供应商的信用记录，供应商存在不良信用记录的，其响应将按无效处理。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.3.1不良信用记录指：供应商在在</w:t>
      </w:r>
      <w:r>
        <w:rPr>
          <w:rFonts w:hint="eastAsia" w:ascii="宋体" w:hAnsi="宋体" w:cs="宋体"/>
          <w:b/>
          <w:bCs/>
          <w:sz w:val="24"/>
          <w:szCs w:val="24"/>
        </w:rPr>
        <w:t>中国政府采购网（www.ccgp.gov.cn）</w:t>
      </w:r>
      <w:r>
        <w:rPr>
          <w:rFonts w:hint="eastAsia" w:ascii="宋体" w:hAnsi="宋体" w:cs="宋体"/>
          <w:sz w:val="24"/>
          <w:szCs w:val="24"/>
        </w:rPr>
        <w:t>被列入政府采购严重违法失信行为记录名单，或在</w:t>
      </w:r>
      <w:r>
        <w:rPr>
          <w:rFonts w:hint="eastAsia" w:ascii="宋体" w:hAnsi="宋体" w:cs="宋体"/>
          <w:b/>
          <w:bCs/>
          <w:sz w:val="24"/>
          <w:szCs w:val="24"/>
        </w:rPr>
        <w:t>“信用中国”网站（www.creditchina.gov.cn）</w:t>
      </w:r>
      <w:r>
        <w:rPr>
          <w:rFonts w:hint="eastAsia" w:ascii="宋体" w:hAnsi="宋体" w:cs="宋体"/>
          <w:sz w:val="24"/>
          <w:szCs w:val="24"/>
        </w:rPr>
        <w:t>被列入失信被执行人、</w:t>
      </w:r>
      <w:r>
        <w:rPr>
          <w:rFonts w:hint="eastAsia" w:ascii="宋体" w:hAnsi="宋体" w:cs="宋体"/>
          <w:sz w:val="24"/>
          <w:szCs w:val="24"/>
          <w:lang w:eastAsia="zh-CN"/>
        </w:rPr>
        <w:t>重大税收违法失信主体</w:t>
      </w:r>
      <w:r>
        <w:rPr>
          <w:rFonts w:hint="eastAsia" w:ascii="宋体" w:hAnsi="宋体" w:cs="宋体"/>
          <w:sz w:val="24"/>
          <w:szCs w:val="24"/>
        </w:rPr>
        <w:t>名单。</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3.2查询及记录方式：采购人监督人员将查询网页打印、签字并存档备查。供应商不良信用记录以查询结果为准，查询之后，网站信息发生的任何变更均不再作为评标依据，供应商自行提供的与网站信息不一致的其他证明材料亦不作为评标依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.4 出现下列情形之一的，将被认定为未实质性响应磋商文件：</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）未按照磋商文件规定要求密封、签署、盖章的；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）供应商在报价时采用选择性报价；</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）供应商不具备磋商文件中规定资格要求的；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）不符合法律、法规和磋商文件中规定的其他实质性要求的；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）其他法律、法规及本磋商文件规定的属于按无效处理的响应文件的情形。</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.5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.6 在按照1</w:t>
      </w:r>
      <w:r>
        <w:rPr>
          <w:rFonts w:hint="eastAsia" w:ascii="宋体" w:hAnsi="宋体" w:cs="宋体"/>
          <w:sz w:val="24"/>
          <w:szCs w:val="24"/>
          <w:lang w:val="en-US" w:eastAsia="zh-CN"/>
        </w:rPr>
        <w:t>0</w:t>
      </w:r>
      <w:r>
        <w:rPr>
          <w:rFonts w:hint="eastAsia" w:ascii="宋体" w:hAnsi="宋体" w:cs="宋体"/>
          <w:sz w:val="24"/>
          <w:szCs w:val="24"/>
        </w:rPr>
        <w:t>.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.7 对未被认定为参加磋商的供应商和其它未实质性响应磋商文件的供应商，磋商小组将及时告知。</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6" w:name="_Toc380479107"/>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．磋商</w:t>
      </w:r>
      <w:bookmarkEnd w:id="26"/>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.1 依据磋商文件的要求和各供应商响应文件的应答情况，磋商小组所有成员集中在通知的时间，与参加的供应商逐一进行一轮或多轮磋商。磋商小组将给予所有参加磋商的供应商平等的磋商机会。</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.2 磋商包括但不限于以下内容：</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（1）磋商小组根据磋商文件要求，对照各磋商供应商提交的响应文件中技术、服务以及合同草案条款等应答情况，进行确认或者询问；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（2）按</w:t>
      </w:r>
      <w:r>
        <w:rPr>
          <w:rFonts w:hint="eastAsia" w:ascii="宋体" w:hAnsi="宋体" w:cs="宋体"/>
          <w:sz w:val="24"/>
          <w:szCs w:val="24"/>
          <w:u w:val="single"/>
        </w:rPr>
        <w:t>前附表</w:t>
      </w:r>
      <w:r>
        <w:rPr>
          <w:rFonts w:hint="eastAsia" w:ascii="宋体" w:hAnsi="宋体" w:cs="宋体"/>
          <w:sz w:val="24"/>
          <w:szCs w:val="24"/>
        </w:rPr>
        <w:t>修改变动磋商文件，并及时以书面形式同时通知所有参加磋商的供应商；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（3）针对修改变动的磋商文件，与所有参加磋商的供应商进行确认或者询问。</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7" w:name="_Toc380479108"/>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．保密原则</w:t>
      </w:r>
      <w:bookmarkEnd w:id="27"/>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.1 磋商小组成员以及与磋商工作有关的人员不得泄露评审和磋商过程中获悉的国家秘密、商业秘密，不得超越法规的规定向无关人员告知评审和磋商情况。</w:t>
      </w:r>
    </w:p>
    <w:p>
      <w:pPr>
        <w:pStyle w:val="2"/>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bookmarkStart w:id="28" w:name="_Toc380479109"/>
      <w:r>
        <w:rPr>
          <w:rFonts w:hint="eastAsia" w:ascii="宋体" w:hAnsi="宋体" w:cs="宋体"/>
          <w:sz w:val="28"/>
          <w:szCs w:val="28"/>
          <w:highlight w:val="none"/>
          <w:lang w:eastAsia="zh-CN"/>
        </w:rPr>
        <w:t>六</w:t>
      </w:r>
      <w:bookmarkEnd w:id="28"/>
      <w:r>
        <w:rPr>
          <w:rFonts w:hint="eastAsia" w:ascii="宋体" w:hAnsi="宋体" w:cs="宋体"/>
          <w:sz w:val="28"/>
          <w:szCs w:val="28"/>
          <w:highlight w:val="none"/>
          <w:lang w:eastAsia="zh-CN"/>
        </w:rPr>
        <w:t>、</w:t>
      </w:r>
      <w:r>
        <w:rPr>
          <w:rFonts w:hint="eastAsia" w:ascii="宋体" w:hAnsi="宋体" w:cs="宋体"/>
          <w:sz w:val="28"/>
          <w:szCs w:val="28"/>
          <w:highlight w:val="none"/>
        </w:rPr>
        <w:t>最后报价</w:t>
      </w:r>
      <w:bookmarkStart w:id="29" w:name="_Toc380479110"/>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bookmarkEnd w:id="29"/>
      <w:r>
        <w:rPr>
          <w:rFonts w:hint="eastAsia" w:ascii="宋体" w:hAnsi="宋体" w:cs="宋体"/>
          <w:sz w:val="24"/>
          <w:szCs w:val="24"/>
          <w:highlight w:val="none"/>
        </w:rPr>
        <w:t>最后报价和最终采购需求的提交</w:t>
      </w:r>
    </w:p>
    <w:p>
      <w:pPr>
        <w:snapToGrid w:val="0"/>
        <w:spacing w:line="360" w:lineRule="auto"/>
        <w:ind w:firstLine="480" w:firstLineChars="200"/>
        <w:rPr>
          <w:rFonts w:hint="eastAsia" w:ascii="宋体" w:hAnsi="宋体" w:cs="宋体"/>
          <w:kern w:val="0"/>
          <w:sz w:val="24"/>
          <w:szCs w:val="24"/>
          <w:highlight w:val="none"/>
        </w:rPr>
      </w:pPr>
      <w:bookmarkStart w:id="30" w:name="_Toc380479111"/>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 磋商结束后，所有实质性响应的供应商应在磋商小组规定时间内提交最后报价。</w:t>
      </w:r>
      <w:r>
        <w:rPr>
          <w:rFonts w:hint="eastAsia" w:ascii="宋体" w:hAnsi="宋体" w:cs="宋体"/>
          <w:kern w:val="0"/>
          <w:sz w:val="24"/>
          <w:szCs w:val="24"/>
          <w:highlight w:val="none"/>
        </w:rPr>
        <w:t>特殊情况请参见《政府采购竞争性磋商采购方式管理暂行办法》和《财政部关于政府采购竞争性磋商采购方式管理暂行办法有关问题的补充通知》。</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 最后报价是供应商响应文件的有效组成部分。</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．逾期提交的最后报价</w:t>
      </w:r>
      <w:bookmarkEnd w:id="30"/>
    </w:p>
    <w:p>
      <w:pPr>
        <w:snapToGrid w:val="0"/>
        <w:spacing w:line="360" w:lineRule="auto"/>
        <w:ind w:firstLine="480" w:firstLineChars="200"/>
        <w:rPr>
          <w:rFonts w:hint="eastAsia" w:ascii="宋体" w:hAnsi="宋体" w:cs="宋体"/>
          <w:sz w:val="28"/>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最后报价须在磋商小组规定的时间内送达指定地点。逾期提交最后报价的磋商供应商将被取消授予合同的资格。</w:t>
      </w:r>
    </w:p>
    <w:p>
      <w:pPr>
        <w:spacing w:line="360" w:lineRule="auto"/>
        <w:rPr>
          <w:rFonts w:hint="eastAsia" w:ascii="宋体" w:hAnsi="宋体" w:cs="宋体"/>
          <w:b/>
          <w:sz w:val="28"/>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31" w:name="_Toc380479112"/>
      <w:r>
        <w:rPr>
          <w:rFonts w:hint="eastAsia" w:ascii="宋体" w:hAnsi="宋体" w:cs="宋体"/>
          <w:sz w:val="28"/>
          <w:szCs w:val="28"/>
          <w:lang w:eastAsia="zh-CN"/>
        </w:rPr>
        <w:t>七</w:t>
      </w:r>
      <w:bookmarkEnd w:id="31"/>
      <w:r>
        <w:rPr>
          <w:rFonts w:hint="eastAsia" w:ascii="宋体" w:hAnsi="宋体" w:cs="宋体"/>
          <w:sz w:val="28"/>
          <w:szCs w:val="28"/>
          <w:lang w:eastAsia="zh-CN"/>
        </w:rPr>
        <w:t>、</w:t>
      </w:r>
      <w:r>
        <w:rPr>
          <w:rFonts w:hint="eastAsia" w:ascii="宋体" w:hAnsi="宋体" w:cs="宋体"/>
          <w:sz w:val="28"/>
          <w:szCs w:val="28"/>
        </w:rPr>
        <w:t>综合评审</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．评审</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 磋商小组采用综合评分法对各个提交最后报价的供应商进行评审。</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 磋商小组各成员应当独立对每个有效响应的文件进行评价、打分，然后汇总每个供应商的得分，计算得分平均值，以平均值高低进行排序。分值计算保留小数点后一位，第二位四舍五入。</w:t>
      </w:r>
    </w:p>
    <w:p>
      <w:pPr>
        <w:spacing w:line="360" w:lineRule="auto"/>
        <w:rPr>
          <w:rFonts w:hint="eastAsia" w:ascii="宋体" w:hAnsi="宋体" w:cs="宋体"/>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r>
        <w:rPr>
          <w:rFonts w:hint="eastAsia" w:ascii="宋体" w:hAnsi="宋体" w:cs="宋体"/>
          <w:sz w:val="28"/>
          <w:szCs w:val="28"/>
          <w:highlight w:val="none"/>
          <w:lang w:eastAsia="zh-CN"/>
        </w:rPr>
        <w:t>八、</w:t>
      </w:r>
      <w:r>
        <w:rPr>
          <w:rFonts w:hint="eastAsia" w:ascii="宋体" w:hAnsi="宋体" w:cs="宋体"/>
          <w:sz w:val="28"/>
          <w:szCs w:val="28"/>
          <w:highlight w:val="none"/>
        </w:rPr>
        <w:t>确定成交候选供应商</w:t>
      </w:r>
      <w:bookmarkStart w:id="32" w:name="_Toc380479113"/>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．确定成交候选供应商原则</w:t>
      </w:r>
      <w:bookmarkEnd w:id="32"/>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.1 磋商小组按照打分结果由高到低的顺序提出成交候选供应商，推荐数量见</w:t>
      </w:r>
      <w:r>
        <w:rPr>
          <w:rFonts w:hint="eastAsia" w:ascii="宋体" w:hAnsi="宋体" w:cs="宋体"/>
          <w:kern w:val="0"/>
          <w:sz w:val="24"/>
          <w:szCs w:val="24"/>
          <w:highlight w:val="none"/>
          <w:u w:val="single"/>
        </w:rPr>
        <w:t>前附表</w:t>
      </w:r>
      <w:r>
        <w:rPr>
          <w:rFonts w:hint="eastAsia" w:ascii="宋体" w:hAnsi="宋体" w:cs="宋体"/>
          <w:kern w:val="0"/>
          <w:sz w:val="24"/>
          <w:szCs w:val="24"/>
          <w:highlight w:val="none"/>
        </w:rPr>
        <w:t>。被推荐为成交候选供应商的最后报价应不高于本项目采购预算控制金额。</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.2 如出现评审得分相同的，按照最后报价由低到高的顺序推荐。如出现评审得分且最后</w:t>
      </w:r>
      <w:r>
        <w:rPr>
          <w:rFonts w:hint="eastAsia" w:ascii="宋体" w:hAnsi="宋体" w:cs="宋体"/>
          <w:kern w:val="0"/>
          <w:sz w:val="24"/>
          <w:szCs w:val="24"/>
          <w:highlight w:val="none"/>
          <w:lang w:eastAsia="zh-CN"/>
        </w:rPr>
        <w:t>报价</w:t>
      </w:r>
      <w:r>
        <w:rPr>
          <w:rFonts w:hint="eastAsia" w:ascii="宋体" w:hAnsi="宋体" w:cs="宋体"/>
          <w:kern w:val="0"/>
          <w:sz w:val="24"/>
          <w:szCs w:val="24"/>
          <w:highlight w:val="none"/>
        </w:rPr>
        <w:t>相同的，按照技术指标优劣顺序推荐。</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3" w:name="_Toc380479114"/>
      <w:r>
        <w:rPr>
          <w:rFonts w:hint="eastAsia" w:ascii="宋体" w:hAnsi="宋体" w:cs="宋体"/>
          <w:sz w:val="24"/>
          <w:szCs w:val="24"/>
          <w:lang w:val="en-US" w:eastAsia="zh-CN"/>
        </w:rPr>
        <w:t>17</w:t>
      </w:r>
      <w:r>
        <w:rPr>
          <w:rFonts w:hint="eastAsia" w:ascii="宋体" w:hAnsi="宋体" w:cs="宋体"/>
          <w:sz w:val="24"/>
          <w:szCs w:val="24"/>
        </w:rPr>
        <w:t>．政府采购政策功能的落实</w:t>
      </w:r>
      <w:bookmarkEnd w:id="33"/>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.1根据</w:t>
      </w:r>
      <w:r>
        <w:rPr>
          <w:rFonts w:hint="eastAsia" w:ascii="宋体" w:hAnsi="宋体" w:cs="宋体"/>
          <w:sz w:val="24"/>
        </w:rPr>
        <w:t>《政府采购促进中小企业发展管理办法》（财库[2020]46号）</w:t>
      </w:r>
      <w:r>
        <w:rPr>
          <w:rFonts w:hint="eastAsia" w:ascii="宋体" w:hAnsi="宋体" w:cs="宋体"/>
          <w:kern w:val="0"/>
          <w:sz w:val="24"/>
          <w:szCs w:val="24"/>
        </w:rPr>
        <w:t>的规定，</w:t>
      </w:r>
      <w:r>
        <w:rPr>
          <w:rFonts w:hint="eastAsia" w:ascii="宋体" w:hAnsi="宋体" w:cs="宋体"/>
          <w:sz w:val="24"/>
        </w:rPr>
        <w:t>对满足价格扣除条件且在响应文件中提交了《中小企业声明函》的投标人，小微企业报价给予前附表中比例的扣除，用扣除后的价格参与评审。</w:t>
      </w:r>
      <w:r>
        <w:rPr>
          <w:rFonts w:hint="eastAsia" w:ascii="宋体" w:hAnsi="宋体" w:cs="宋体"/>
          <w:kern w:val="0"/>
          <w:sz w:val="24"/>
          <w:szCs w:val="24"/>
        </w:rPr>
        <w:t>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.3列入节能产品目录或环境标志产品目录或无线局域网产品目录的货物将予以优先采购，磋商供应商应提供相关证明，其磋商最后报价将按扣除后的价格参与评审，具体扣除比例见前附表。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.4 对于即属于小/微企业又属于监狱企业，不重复进行报价扣除。</w:t>
      </w:r>
    </w:p>
    <w:p>
      <w:pPr>
        <w:widowControl/>
        <w:spacing w:line="360" w:lineRule="auto"/>
        <w:ind w:firstLine="480" w:firstLineChars="200"/>
        <w:rPr>
          <w:rFonts w:hint="eastAsia" w:ascii="宋体" w:hAnsi="宋体" w:cs="宋体"/>
          <w:sz w:val="24"/>
        </w:rPr>
      </w:pPr>
      <w:r>
        <w:rPr>
          <w:rFonts w:hint="eastAsia" w:ascii="宋体" w:hAnsi="宋体" w:cs="宋体"/>
          <w:kern w:val="0"/>
          <w:sz w:val="24"/>
          <w:szCs w:val="24"/>
          <w:lang w:val="en-US" w:eastAsia="zh-CN"/>
        </w:rPr>
        <w:t>17</w:t>
      </w:r>
      <w:r>
        <w:rPr>
          <w:rFonts w:hint="eastAsia" w:ascii="宋体" w:hAnsi="宋体" w:cs="宋体"/>
          <w:kern w:val="0"/>
          <w:sz w:val="24"/>
          <w:szCs w:val="24"/>
        </w:rPr>
        <w:t xml:space="preserve">.5 </w:t>
      </w:r>
      <w:r>
        <w:rPr>
          <w:rFonts w:hint="eastAsia" w:ascii="宋体" w:hAnsi="宋体" w:cs="宋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宋体" w:hAnsi="宋体" w:cs="宋体"/>
          <w:kern w:val="0"/>
          <w:sz w:val="24"/>
          <w:szCs w:val="24"/>
        </w:rPr>
        <w:t>前附表中比例</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宋体" w:hAnsi="宋体" w:cs="宋体"/>
          <w:sz w:val="24"/>
        </w:rPr>
      </w:pPr>
      <w:r>
        <w:rPr>
          <w:rFonts w:hint="eastAsia" w:ascii="宋体" w:hAnsi="宋体" w:cs="宋体"/>
          <w:sz w:val="24"/>
        </w:rPr>
        <w:t>联合体各方均为小型、微型企业和监狱企业的，联合体视同为小型、微型企业和监狱企业。</w:t>
      </w:r>
    </w:p>
    <w:p>
      <w:pPr>
        <w:widowControl/>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.6 政府采购货物、工程和服务项目中涉及商品包装和快递包装的，供应商提供产品及相关快递服务的具体包装要求请详见《商品包装政府采购需求标准（试行）》、《快递包装政府采购需求标准（试行）》。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4" w:name="_Toc380479115"/>
      <w:r>
        <w:rPr>
          <w:rFonts w:hint="eastAsia" w:ascii="宋体" w:hAnsi="宋体" w:cs="宋体"/>
          <w:sz w:val="24"/>
          <w:szCs w:val="24"/>
          <w:lang w:val="en-US" w:eastAsia="zh-CN"/>
        </w:rPr>
        <w:t>18</w:t>
      </w:r>
      <w:r>
        <w:rPr>
          <w:rFonts w:hint="eastAsia" w:ascii="宋体" w:hAnsi="宋体" w:cs="宋体"/>
          <w:sz w:val="24"/>
          <w:szCs w:val="24"/>
        </w:rPr>
        <w:t>．最终评价确定</w:t>
      </w:r>
      <w:bookmarkEnd w:id="34"/>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.1 采购人有权对推荐为成交候选供应商的供应商的资格条件及价格计算方面进行审查。</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.2 采购人从评审报告提出的成交候选供应商中，按照排序由高到低的原则确定成交供应商，也可以书面授权磋商小组直接确定成交供应商。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5" w:name="_Toc380479116"/>
      <w:r>
        <w:rPr>
          <w:rFonts w:hint="eastAsia" w:ascii="宋体" w:hAnsi="宋体" w:cs="宋体"/>
          <w:sz w:val="24"/>
          <w:szCs w:val="24"/>
          <w:lang w:val="en-US" w:eastAsia="zh-CN"/>
        </w:rPr>
        <w:t>19</w:t>
      </w:r>
      <w:r>
        <w:rPr>
          <w:rFonts w:hint="eastAsia" w:ascii="宋体" w:hAnsi="宋体" w:cs="宋体"/>
          <w:sz w:val="24"/>
          <w:szCs w:val="24"/>
        </w:rPr>
        <w:t>．签订合同</w:t>
      </w:r>
      <w:bookmarkEnd w:id="35"/>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将以书面形式向成交供应商发出成交结果通知。</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成交结果通知书发出后，采购人将与成交供应商签订合同。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6" w:name="_Toc380479117"/>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采购终止</w:t>
      </w:r>
      <w:bookmarkEnd w:id="36"/>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 出现下列情形之一的，采购人将终止竞争性磋商采购活动，发布项目终止公告并说明原因，重新开展采购活动：</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（1）在采购活动中因重大变故，采购任务取消的；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（2）因情况变化，不再符合规定的竞争性磋商采购方式适用情形的；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（3）出现影响采购公正的违法、违规行为的；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（4）在采购过程中符合要求的供应商或者报价未超过采购预算的供应商不满足要求的；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（5）磋商小组未确认磋商文件的。</w:t>
      </w:r>
    </w:p>
    <w:p>
      <w:pPr>
        <w:pStyle w:val="2"/>
        <w:spacing w:line="360" w:lineRule="auto"/>
        <w:rPr>
          <w:rFonts w:hint="eastAsia"/>
        </w:rPr>
      </w:pPr>
    </w:p>
    <w:p>
      <w:pPr>
        <w:spacing w:before="99" w:line="360" w:lineRule="auto"/>
        <w:ind w:right="-20" w:firstLine="562" w:firstLineChars="200"/>
        <w:jc w:val="both"/>
        <w:rPr>
          <w:rFonts w:hint="eastAsia"/>
        </w:rPr>
      </w:pPr>
      <w:bookmarkStart w:id="37" w:name="_Toc380479118"/>
      <w:r>
        <w:rPr>
          <w:rFonts w:hint="eastAsia" w:ascii="宋体" w:hAnsi="宋体" w:cs="宋体"/>
          <w:b/>
          <w:bCs/>
          <w:sz w:val="28"/>
          <w:szCs w:val="28"/>
          <w:lang w:eastAsia="zh-CN"/>
        </w:rPr>
        <w:t>九</w:t>
      </w:r>
      <w:bookmarkEnd w:id="37"/>
      <w:r>
        <w:rPr>
          <w:rFonts w:hint="eastAsia" w:ascii="宋体" w:hAnsi="宋体" w:cs="宋体"/>
          <w:b/>
          <w:bCs/>
          <w:sz w:val="28"/>
          <w:szCs w:val="28"/>
          <w:lang w:eastAsia="zh-CN"/>
        </w:rPr>
        <w:t>、</w:t>
      </w:r>
      <w:r>
        <w:rPr>
          <w:rFonts w:hint="eastAsia" w:ascii="宋体" w:hAnsi="宋体" w:cs="宋体"/>
          <w:b/>
          <w:bCs/>
          <w:sz w:val="28"/>
          <w:szCs w:val="28"/>
        </w:rPr>
        <w:t>废标条款</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.出现下列情形之一的，应予废标：</w:t>
      </w:r>
    </w:p>
    <w:p>
      <w:pPr>
        <w:spacing w:line="360" w:lineRule="auto"/>
        <w:ind w:right="-20" w:firstLine="488" w:firstLineChars="200"/>
        <w:rPr>
          <w:rFonts w:hint="eastAsia" w:ascii="宋体" w:hAnsi="宋体" w:cs="宋体"/>
          <w:sz w:val="24"/>
          <w:szCs w:val="24"/>
        </w:rPr>
      </w:pP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专业</w:t>
      </w:r>
      <w:r>
        <w:rPr>
          <w:rFonts w:hint="eastAsia" w:ascii="宋体" w:hAnsi="宋体" w:cs="宋体"/>
          <w:sz w:val="24"/>
          <w:szCs w:val="24"/>
        </w:rPr>
        <w:t>条</w:t>
      </w:r>
      <w:r>
        <w:rPr>
          <w:rFonts w:hint="eastAsia" w:ascii="宋体" w:hAnsi="宋体" w:cs="宋体"/>
          <w:spacing w:val="2"/>
          <w:sz w:val="24"/>
          <w:szCs w:val="24"/>
        </w:rPr>
        <w:t>件的</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或者</w:t>
      </w:r>
      <w:r>
        <w:rPr>
          <w:rFonts w:hint="eastAsia" w:ascii="宋体" w:hAnsi="宋体" w:cs="宋体"/>
          <w:sz w:val="24"/>
          <w:szCs w:val="24"/>
        </w:rPr>
        <w:t>对</w:t>
      </w:r>
      <w:r>
        <w:rPr>
          <w:rFonts w:hint="eastAsia" w:ascii="宋体" w:hAnsi="宋体" w:cs="宋体"/>
          <w:spacing w:val="2"/>
          <w:sz w:val="24"/>
          <w:szCs w:val="24"/>
        </w:rPr>
        <w:t>竞</w:t>
      </w:r>
      <w:r>
        <w:rPr>
          <w:rFonts w:hint="eastAsia" w:ascii="宋体" w:hAnsi="宋体" w:cs="宋体"/>
          <w:sz w:val="24"/>
          <w:szCs w:val="24"/>
        </w:rPr>
        <w:t>争</w:t>
      </w:r>
      <w:r>
        <w:rPr>
          <w:rFonts w:hint="eastAsia" w:ascii="宋体" w:hAnsi="宋体" w:cs="宋体"/>
          <w:spacing w:val="2"/>
          <w:sz w:val="24"/>
          <w:szCs w:val="24"/>
        </w:rPr>
        <w:t>性磋</w:t>
      </w:r>
      <w:r>
        <w:rPr>
          <w:rFonts w:hint="eastAsia" w:ascii="宋体" w:hAnsi="宋体" w:cs="宋体"/>
          <w:sz w:val="24"/>
          <w:szCs w:val="24"/>
        </w:rPr>
        <w:t>商</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作实</w:t>
      </w:r>
      <w:r>
        <w:rPr>
          <w:rFonts w:hint="eastAsia" w:ascii="宋体" w:hAnsi="宋体" w:cs="宋体"/>
          <w:sz w:val="24"/>
          <w:szCs w:val="24"/>
        </w:rPr>
        <w:t>质</w:t>
      </w:r>
      <w:r>
        <w:rPr>
          <w:rFonts w:hint="eastAsia" w:ascii="宋体" w:hAnsi="宋体" w:cs="宋体"/>
          <w:spacing w:val="2"/>
          <w:sz w:val="24"/>
          <w:szCs w:val="24"/>
        </w:rPr>
        <w:t>响</w:t>
      </w:r>
      <w:r>
        <w:rPr>
          <w:rFonts w:hint="eastAsia" w:ascii="宋体" w:hAnsi="宋体" w:cs="宋体"/>
          <w:sz w:val="24"/>
          <w:szCs w:val="24"/>
        </w:rPr>
        <w:t>应</w:t>
      </w:r>
      <w:r>
        <w:rPr>
          <w:rFonts w:hint="eastAsia" w:ascii="宋体" w:hAnsi="宋体" w:cs="宋体"/>
          <w:spacing w:val="2"/>
          <w:sz w:val="24"/>
          <w:szCs w:val="24"/>
        </w:rPr>
        <w:t>的供</w:t>
      </w:r>
      <w:r>
        <w:rPr>
          <w:rFonts w:hint="eastAsia" w:ascii="宋体" w:hAnsi="宋体" w:cs="宋体"/>
          <w:sz w:val="24"/>
          <w:szCs w:val="24"/>
        </w:rPr>
        <w:t>应</w:t>
      </w:r>
      <w:r>
        <w:rPr>
          <w:rFonts w:hint="eastAsia" w:ascii="宋体" w:hAnsi="宋体" w:cs="宋体"/>
          <w:spacing w:val="2"/>
          <w:sz w:val="24"/>
          <w:szCs w:val="24"/>
        </w:rPr>
        <w:t>商</w:t>
      </w:r>
      <w:r>
        <w:rPr>
          <w:rFonts w:hint="eastAsia" w:ascii="宋体" w:hAnsi="宋体" w:cs="宋体"/>
          <w:sz w:val="24"/>
          <w:szCs w:val="24"/>
        </w:rPr>
        <w:t>不</w:t>
      </w:r>
      <w:r>
        <w:rPr>
          <w:rFonts w:hint="eastAsia" w:ascii="宋体" w:hAnsi="宋体" w:cs="宋体"/>
          <w:spacing w:val="2"/>
          <w:sz w:val="24"/>
          <w:szCs w:val="24"/>
        </w:rPr>
        <w:t>足</w:t>
      </w:r>
      <w:r>
        <w:rPr>
          <w:rFonts w:hint="eastAsia" w:ascii="宋体" w:hAnsi="宋体" w:cs="宋体"/>
          <w:sz w:val="24"/>
          <w:szCs w:val="24"/>
        </w:rPr>
        <w:t>3 家的；</w:t>
      </w:r>
    </w:p>
    <w:p>
      <w:pPr>
        <w:spacing w:before="34" w:line="360" w:lineRule="auto"/>
        <w:ind w:right="-20"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（3）报价均超出采购预算，采购人不能支付的；</w:t>
      </w:r>
    </w:p>
    <w:p>
      <w:pPr>
        <w:spacing w:line="360" w:lineRule="auto"/>
        <w:ind w:right="-20" w:firstLine="480" w:firstLineChars="200"/>
        <w:rPr>
          <w:rFonts w:hint="eastAsia" w:ascii="宋体" w:hAnsi="宋体" w:cs="宋体"/>
          <w:sz w:val="24"/>
          <w:szCs w:val="24"/>
          <w:lang w:eastAsia="zh-CN"/>
        </w:rPr>
      </w:pPr>
      <w:r>
        <w:rPr>
          <w:rFonts w:hint="eastAsia" w:ascii="宋体" w:hAnsi="宋体" w:cs="宋体"/>
          <w:sz w:val="24"/>
          <w:szCs w:val="24"/>
        </w:rPr>
        <w:t>（4）因重大变故，采购任务取消的</w:t>
      </w:r>
      <w:r>
        <w:rPr>
          <w:rFonts w:hint="eastAsia" w:ascii="宋体" w:hAnsi="宋体" w:cs="宋体"/>
          <w:sz w:val="24"/>
          <w:szCs w:val="24"/>
          <w:lang w:eastAsia="zh-CN"/>
        </w:rPr>
        <w:t>。</w:t>
      </w:r>
    </w:p>
    <w:p>
      <w:pPr>
        <w:pStyle w:val="2"/>
        <w:spacing w:line="360" w:lineRule="auto"/>
        <w:rPr>
          <w:rFonts w:hint="eastAsia"/>
          <w:lang w:eastAsia="zh-CN"/>
        </w:rPr>
      </w:pPr>
    </w:p>
    <w:p>
      <w:pPr>
        <w:spacing w:before="99" w:line="360" w:lineRule="auto"/>
        <w:ind w:right="-20"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评审纪律和注意事项</w:t>
      </w:r>
    </w:p>
    <w:p>
      <w:pPr>
        <w:spacing w:line="360" w:lineRule="auto"/>
        <w:ind w:right="-20" w:firstLine="481" w:firstLineChars="200"/>
        <w:rPr>
          <w:rFonts w:hint="eastAsia"/>
        </w:rPr>
      </w:pPr>
      <w:r>
        <w:rPr>
          <w:rFonts w:hint="eastAsia"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.评审纪律和注意事项：</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 磋</w:t>
      </w:r>
      <w:bookmarkStart w:id="46" w:name="_GoBack"/>
      <w:bookmarkEnd w:id="46"/>
      <w:r>
        <w:rPr>
          <w:rFonts w:hint="eastAsia" w:ascii="宋体" w:hAnsi="宋体" w:cs="宋体"/>
          <w:sz w:val="24"/>
          <w:szCs w:val="24"/>
        </w:rPr>
        <w:t>商评审工作要按照法定程序进行，不得随意简化和改变应有程序。</w:t>
      </w:r>
    </w:p>
    <w:p>
      <w:pPr>
        <w:spacing w:line="360" w:lineRule="auto"/>
        <w:ind w:right="31"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 评委要有高度的责任心</w:t>
      </w:r>
      <w:r>
        <w:rPr>
          <w:rFonts w:hint="eastAsia" w:ascii="宋体" w:hAnsi="宋体" w:cs="宋体"/>
          <w:spacing w:val="-19"/>
          <w:sz w:val="24"/>
          <w:szCs w:val="24"/>
        </w:rPr>
        <w:t>，</w:t>
      </w:r>
      <w:r>
        <w:rPr>
          <w:rFonts w:hint="eastAsia" w:ascii="宋体" w:hAnsi="宋体" w:cs="宋体"/>
          <w:sz w:val="24"/>
          <w:szCs w:val="24"/>
        </w:rPr>
        <w:t>严格遵</w:t>
      </w:r>
      <w:r>
        <w:rPr>
          <w:rFonts w:hint="eastAsia" w:ascii="宋体" w:hAnsi="宋体" w:cs="宋体"/>
          <w:spacing w:val="-19"/>
          <w:sz w:val="24"/>
          <w:szCs w:val="24"/>
        </w:rPr>
        <w:t>守</w:t>
      </w:r>
      <w:r>
        <w:rPr>
          <w:rFonts w:hint="eastAsia" w:ascii="宋体" w:hAnsi="宋体" w:cs="宋体"/>
          <w:sz w:val="24"/>
          <w:szCs w:val="24"/>
        </w:rPr>
        <w:t>《</w:t>
      </w:r>
      <w:r>
        <w:rPr>
          <w:rFonts w:hint="eastAsia" w:ascii="宋体" w:hAnsi="宋体" w:cs="宋体"/>
          <w:spacing w:val="2"/>
          <w:sz w:val="24"/>
          <w:szCs w:val="24"/>
        </w:rPr>
        <w:t>磋商小组成员</w:t>
      </w:r>
      <w:r>
        <w:rPr>
          <w:rFonts w:hint="eastAsia" w:ascii="宋体" w:hAnsi="宋体" w:cs="宋体"/>
          <w:sz w:val="24"/>
          <w:szCs w:val="24"/>
        </w:rPr>
        <w:t>承诺书</w:t>
      </w:r>
      <w:r>
        <w:rPr>
          <w:rFonts w:hint="eastAsia" w:ascii="宋体" w:hAnsi="宋体" w:cs="宋体"/>
          <w:spacing w:val="-19"/>
          <w:sz w:val="24"/>
          <w:szCs w:val="24"/>
        </w:rPr>
        <w:t>》</w:t>
      </w:r>
      <w:r>
        <w:rPr>
          <w:rFonts w:hint="eastAsia" w:ascii="宋体" w:hAnsi="宋体" w:cs="宋体"/>
          <w:sz w:val="24"/>
          <w:szCs w:val="24"/>
        </w:rPr>
        <w:t>的相关要求</w:t>
      </w:r>
      <w:r>
        <w:rPr>
          <w:rFonts w:hint="eastAsia" w:ascii="宋体" w:hAnsi="宋体" w:cs="宋体"/>
          <w:spacing w:val="-19"/>
          <w:sz w:val="24"/>
          <w:szCs w:val="24"/>
        </w:rPr>
        <w:t>，</w:t>
      </w:r>
      <w:r>
        <w:rPr>
          <w:rFonts w:hint="eastAsia" w:ascii="宋体" w:hAnsi="宋体" w:cs="宋体"/>
          <w:sz w:val="24"/>
          <w:szCs w:val="24"/>
        </w:rPr>
        <w:t>严格</w:t>
      </w:r>
      <w:r>
        <w:rPr>
          <w:rFonts w:hint="eastAsia" w:ascii="宋体" w:hAnsi="宋体" w:cs="宋体"/>
          <w:spacing w:val="2"/>
          <w:sz w:val="24"/>
          <w:szCs w:val="24"/>
        </w:rPr>
        <w:t>按照</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和</w:t>
      </w:r>
      <w:r>
        <w:rPr>
          <w:rFonts w:hint="eastAsia" w:ascii="宋体" w:hAnsi="宋体" w:cs="宋体"/>
          <w:spacing w:val="2"/>
          <w:sz w:val="24"/>
          <w:szCs w:val="24"/>
        </w:rPr>
        <w:t>打分</w:t>
      </w:r>
      <w:r>
        <w:rPr>
          <w:rFonts w:hint="eastAsia" w:ascii="宋体" w:hAnsi="宋体" w:cs="宋体"/>
          <w:sz w:val="24"/>
          <w:szCs w:val="24"/>
        </w:rPr>
        <w:t>细</w:t>
      </w:r>
      <w:r>
        <w:rPr>
          <w:rFonts w:hint="eastAsia" w:ascii="宋体" w:hAnsi="宋体" w:cs="宋体"/>
          <w:spacing w:val="2"/>
          <w:sz w:val="24"/>
          <w:szCs w:val="24"/>
        </w:rPr>
        <w:t>则要</w:t>
      </w:r>
      <w:r>
        <w:rPr>
          <w:rFonts w:hint="eastAsia" w:ascii="宋体" w:hAnsi="宋体" w:cs="宋体"/>
          <w:sz w:val="24"/>
          <w:szCs w:val="24"/>
        </w:rPr>
        <w:t>求</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认</w:t>
      </w:r>
      <w:r>
        <w:rPr>
          <w:rFonts w:hint="eastAsia" w:ascii="宋体" w:hAnsi="宋体" w:cs="宋体"/>
          <w:sz w:val="24"/>
          <w:szCs w:val="24"/>
        </w:rPr>
        <w:t>真</w:t>
      </w:r>
      <w:r>
        <w:rPr>
          <w:rFonts w:hint="eastAsia" w:ascii="宋体" w:hAnsi="宋体" w:cs="宋体"/>
          <w:spacing w:val="2"/>
          <w:sz w:val="24"/>
          <w:szCs w:val="24"/>
        </w:rPr>
        <w:t>评</w:t>
      </w:r>
      <w:r>
        <w:rPr>
          <w:rFonts w:hint="eastAsia" w:ascii="宋体" w:hAnsi="宋体" w:cs="宋体"/>
          <w:spacing w:val="3"/>
          <w:sz w:val="24"/>
          <w:szCs w:val="24"/>
        </w:rPr>
        <w:t>议</w:t>
      </w:r>
      <w:r>
        <w:rPr>
          <w:rFonts w:hint="eastAsia" w:ascii="宋体" w:hAnsi="宋体" w:cs="宋体"/>
          <w:sz w:val="24"/>
          <w:szCs w:val="24"/>
        </w:rPr>
        <w:t>，</w:t>
      </w:r>
      <w:r>
        <w:rPr>
          <w:rFonts w:hint="eastAsia" w:ascii="宋体" w:hAnsi="宋体" w:cs="宋体"/>
          <w:spacing w:val="2"/>
          <w:sz w:val="24"/>
          <w:szCs w:val="24"/>
        </w:rPr>
        <w:t>坚持</w:t>
      </w:r>
      <w:r>
        <w:rPr>
          <w:rFonts w:hint="eastAsia" w:ascii="宋体" w:hAnsi="宋体" w:cs="宋体"/>
          <w:sz w:val="24"/>
          <w:szCs w:val="24"/>
        </w:rPr>
        <w:t>独</w:t>
      </w:r>
      <w:r>
        <w:rPr>
          <w:rFonts w:hint="eastAsia" w:ascii="宋体" w:hAnsi="宋体" w:cs="宋体"/>
          <w:spacing w:val="2"/>
          <w:sz w:val="24"/>
          <w:szCs w:val="24"/>
        </w:rPr>
        <w:t>立</w:t>
      </w:r>
      <w:r>
        <w:rPr>
          <w:rFonts w:hint="eastAsia" w:ascii="宋体" w:hAnsi="宋体" w:cs="宋体"/>
          <w:sz w:val="24"/>
          <w:szCs w:val="24"/>
        </w:rPr>
        <w:t>打</w:t>
      </w:r>
      <w:r>
        <w:rPr>
          <w:rFonts w:hint="eastAsia" w:ascii="宋体" w:hAnsi="宋体" w:cs="宋体"/>
          <w:spacing w:val="2"/>
          <w:sz w:val="24"/>
          <w:szCs w:val="24"/>
        </w:rPr>
        <w:t>分</w:t>
      </w:r>
      <w:r>
        <w:rPr>
          <w:rFonts w:hint="eastAsia" w:ascii="宋体" w:hAnsi="宋体" w:cs="宋体"/>
          <w:sz w:val="24"/>
          <w:szCs w:val="24"/>
        </w:rPr>
        <w:t>，</w:t>
      </w:r>
      <w:r>
        <w:rPr>
          <w:rFonts w:hint="eastAsia" w:ascii="宋体" w:hAnsi="宋体" w:cs="宋体"/>
          <w:spacing w:val="2"/>
          <w:sz w:val="24"/>
          <w:szCs w:val="24"/>
        </w:rPr>
        <w:t>不应</w:t>
      </w:r>
      <w:r>
        <w:rPr>
          <w:rFonts w:hint="eastAsia" w:ascii="宋体" w:hAnsi="宋体" w:cs="宋体"/>
          <w:sz w:val="24"/>
          <w:szCs w:val="24"/>
        </w:rPr>
        <w:t>有</w:t>
      </w:r>
      <w:r>
        <w:rPr>
          <w:rFonts w:hint="eastAsia" w:ascii="宋体" w:hAnsi="宋体" w:cs="宋体"/>
          <w:spacing w:val="2"/>
          <w:sz w:val="24"/>
          <w:szCs w:val="24"/>
        </w:rPr>
        <w:t>任何</w:t>
      </w:r>
      <w:r>
        <w:rPr>
          <w:rFonts w:hint="eastAsia" w:ascii="宋体" w:hAnsi="宋体" w:cs="宋体"/>
          <w:sz w:val="24"/>
          <w:szCs w:val="24"/>
        </w:rPr>
        <w:t>倾</w:t>
      </w:r>
      <w:r>
        <w:rPr>
          <w:rFonts w:hint="eastAsia" w:ascii="宋体" w:hAnsi="宋体" w:cs="宋体"/>
          <w:spacing w:val="2"/>
          <w:sz w:val="24"/>
          <w:szCs w:val="24"/>
        </w:rPr>
        <w:t>向</w:t>
      </w:r>
      <w:r>
        <w:rPr>
          <w:rFonts w:hint="eastAsia" w:ascii="宋体" w:hAnsi="宋体" w:cs="宋体"/>
          <w:sz w:val="24"/>
          <w:szCs w:val="24"/>
        </w:rPr>
        <w:t>性若有违规行为，取消评委资格。</w:t>
      </w:r>
    </w:p>
    <w:p>
      <w:pPr>
        <w:spacing w:before="37"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 磋商期间评委及工作人员不得单独与供应商进行任何形式的接触</w:t>
      </w:r>
      <w:r>
        <w:rPr>
          <w:rFonts w:hint="eastAsia" w:ascii="宋体" w:hAnsi="宋体" w:cs="宋体"/>
          <w:spacing w:val="-74"/>
          <w:sz w:val="24"/>
          <w:szCs w:val="24"/>
        </w:rPr>
        <w:t>，</w:t>
      </w:r>
      <w:r>
        <w:rPr>
          <w:rFonts w:hint="eastAsia" w:ascii="宋体" w:hAnsi="宋体" w:cs="宋体"/>
          <w:sz w:val="24"/>
          <w:szCs w:val="24"/>
        </w:rPr>
        <w:t>有需要供应商澄清的问题必须采用集体询标的方式进行。</w:t>
      </w:r>
    </w:p>
    <w:p>
      <w:pPr>
        <w:spacing w:before="38"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.4评审期间供应商不得干扰评委工作</w:t>
      </w:r>
      <w:r>
        <w:rPr>
          <w:rFonts w:hint="eastAsia" w:ascii="宋体" w:hAnsi="宋体" w:cs="宋体"/>
          <w:spacing w:val="-7"/>
          <w:sz w:val="24"/>
          <w:szCs w:val="24"/>
        </w:rPr>
        <w:t>，</w:t>
      </w:r>
      <w:r>
        <w:rPr>
          <w:rFonts w:hint="eastAsia" w:ascii="宋体" w:hAnsi="宋体" w:cs="宋体"/>
          <w:sz w:val="24"/>
          <w:szCs w:val="24"/>
        </w:rPr>
        <w:t>如发现有对评审施加影响的行为</w:t>
      </w:r>
      <w:r>
        <w:rPr>
          <w:rFonts w:hint="eastAsia" w:ascii="宋体" w:hAnsi="宋体" w:cs="宋体"/>
          <w:spacing w:val="-7"/>
          <w:sz w:val="24"/>
          <w:szCs w:val="24"/>
        </w:rPr>
        <w:t>，</w:t>
      </w:r>
      <w:r>
        <w:rPr>
          <w:rFonts w:hint="eastAsia" w:ascii="宋体" w:hAnsi="宋体" w:cs="宋体"/>
          <w:sz w:val="24"/>
          <w:szCs w:val="24"/>
        </w:rPr>
        <w:t>其响应将被拒绝。</w:t>
      </w:r>
    </w:p>
    <w:p>
      <w:pPr>
        <w:spacing w:before="38" w:line="360" w:lineRule="auto"/>
        <w:ind w:right="3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.5开标之后</w:t>
      </w:r>
      <w:r>
        <w:rPr>
          <w:rFonts w:hint="eastAsia" w:ascii="宋体" w:hAnsi="宋体" w:cs="宋体"/>
          <w:spacing w:val="-2"/>
          <w:sz w:val="24"/>
          <w:szCs w:val="24"/>
        </w:rPr>
        <w:t>，</w:t>
      </w:r>
      <w:r>
        <w:rPr>
          <w:rFonts w:hint="eastAsia" w:ascii="宋体" w:hAnsi="宋体" w:cs="宋体"/>
          <w:sz w:val="24"/>
          <w:szCs w:val="24"/>
        </w:rPr>
        <w:t>直至授予响应人合同止</w:t>
      </w:r>
      <w:r>
        <w:rPr>
          <w:rFonts w:hint="eastAsia" w:ascii="宋体" w:hAnsi="宋体" w:cs="宋体"/>
          <w:spacing w:val="-2"/>
          <w:sz w:val="24"/>
          <w:szCs w:val="24"/>
        </w:rPr>
        <w:t>，</w:t>
      </w:r>
      <w:r>
        <w:rPr>
          <w:rFonts w:hint="eastAsia" w:ascii="宋体" w:hAnsi="宋体" w:cs="宋体"/>
          <w:sz w:val="24"/>
          <w:szCs w:val="24"/>
        </w:rPr>
        <w:t>有关审查</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、评</w:t>
      </w:r>
      <w:r>
        <w:rPr>
          <w:rFonts w:hint="eastAsia" w:ascii="宋体" w:hAnsi="宋体" w:cs="宋体"/>
          <w:sz w:val="24"/>
          <w:szCs w:val="24"/>
        </w:rPr>
        <w:t>价的资料及授标意向等要严格保密，涉及评标工作的人员不得向供应商和其他利益相关人员透露。</w:t>
      </w:r>
    </w:p>
    <w:p>
      <w:pPr>
        <w:spacing w:line="360" w:lineRule="auto"/>
        <w:ind w:right="-20" w:firstLine="480" w:firstLineChars="200"/>
        <w:rPr>
          <w:rFonts w:hint="eastAsia" w:ascii="宋体" w:hAnsi="宋体" w:cs="宋体"/>
          <w:sz w:val="24"/>
          <w:szCs w:val="24"/>
        </w:rPr>
      </w:pPr>
      <w:r>
        <w:rPr>
          <w:rFonts w:hint="eastAsia" w:ascii="宋体" w:hAnsi="宋体" w:cs="宋体"/>
          <w:position w:val="-3"/>
          <w:sz w:val="24"/>
          <w:szCs w:val="24"/>
        </w:rPr>
        <w:t>2</w:t>
      </w:r>
      <w:r>
        <w:rPr>
          <w:rFonts w:hint="eastAsia" w:ascii="宋体" w:hAnsi="宋体" w:cs="宋体"/>
          <w:position w:val="-3"/>
          <w:sz w:val="24"/>
          <w:szCs w:val="24"/>
          <w:lang w:val="en-US" w:eastAsia="zh-CN"/>
        </w:rPr>
        <w:t>2</w:t>
      </w:r>
      <w:r>
        <w:rPr>
          <w:rFonts w:hint="eastAsia" w:ascii="宋体" w:hAnsi="宋体" w:cs="宋体"/>
          <w:position w:val="-3"/>
          <w:sz w:val="24"/>
          <w:szCs w:val="24"/>
        </w:rPr>
        <w:t>.6评标期间</w:t>
      </w:r>
      <w:r>
        <w:rPr>
          <w:rFonts w:hint="eastAsia" w:ascii="宋体" w:hAnsi="宋体" w:cs="宋体"/>
          <w:spacing w:val="-7"/>
          <w:position w:val="-3"/>
          <w:sz w:val="24"/>
          <w:szCs w:val="24"/>
        </w:rPr>
        <w:t>，</w:t>
      </w:r>
      <w:r>
        <w:rPr>
          <w:rFonts w:hint="eastAsia" w:ascii="宋体" w:hAnsi="宋体" w:cs="宋体"/>
          <w:position w:val="-3"/>
          <w:sz w:val="24"/>
          <w:szCs w:val="24"/>
        </w:rPr>
        <w:t>除与外界联系的公用电话外</w:t>
      </w:r>
      <w:r>
        <w:rPr>
          <w:rFonts w:hint="eastAsia" w:ascii="宋体" w:hAnsi="宋体" w:cs="宋体"/>
          <w:spacing w:val="-7"/>
          <w:position w:val="-3"/>
          <w:sz w:val="24"/>
          <w:szCs w:val="24"/>
        </w:rPr>
        <w:t>，</w:t>
      </w:r>
      <w:r>
        <w:rPr>
          <w:rFonts w:hint="eastAsia" w:ascii="宋体" w:hAnsi="宋体" w:cs="宋体"/>
          <w:position w:val="-3"/>
          <w:sz w:val="24"/>
          <w:szCs w:val="24"/>
        </w:rPr>
        <w:t>所有和评标工作有关人员关闭移</w:t>
      </w:r>
      <w:r>
        <w:rPr>
          <w:rFonts w:hint="eastAsia" w:ascii="宋体" w:hAnsi="宋体" w:cs="宋体"/>
          <w:sz w:val="24"/>
          <w:szCs w:val="24"/>
        </w:rPr>
        <w:t>动通讯工具，交监督人员统一保管。</w:t>
      </w:r>
    </w:p>
    <w:p>
      <w:pPr>
        <w:pStyle w:val="2"/>
        <w:spacing w:line="360" w:lineRule="auto"/>
        <w:rPr>
          <w:rFonts w:hint="eastAsia"/>
        </w:rPr>
      </w:pPr>
    </w:p>
    <w:p>
      <w:pPr>
        <w:spacing w:line="360" w:lineRule="auto"/>
        <w:ind w:right="-20" w:firstLine="562" w:firstLineChars="200"/>
        <w:jc w:val="both"/>
        <w:rPr>
          <w:rFonts w:hint="eastAsia"/>
        </w:rPr>
      </w:pPr>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公告</w:t>
      </w:r>
      <w:r>
        <w:rPr>
          <w:rFonts w:hint="eastAsia" w:ascii="宋体" w:hAnsi="宋体" w:cs="宋体"/>
          <w:b/>
          <w:bCs/>
          <w:spacing w:val="2"/>
          <w:sz w:val="28"/>
          <w:szCs w:val="28"/>
        </w:rPr>
        <w:t>与</w:t>
      </w:r>
      <w:r>
        <w:rPr>
          <w:rFonts w:hint="eastAsia" w:ascii="宋体" w:hAnsi="宋体" w:cs="宋体"/>
          <w:b/>
          <w:bCs/>
          <w:sz w:val="28"/>
          <w:szCs w:val="28"/>
        </w:rPr>
        <w:t>质疑</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.公告与质疑</w:t>
      </w:r>
    </w:p>
    <w:p>
      <w:pPr>
        <w:spacing w:line="360" w:lineRule="auto"/>
        <w:ind w:right="159"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xml:space="preserve">.1 </w:t>
      </w:r>
      <w:r>
        <w:rPr>
          <w:rFonts w:hint="eastAsia" w:ascii="宋体" w:hAnsi="宋体" w:cs="宋体"/>
          <w:spacing w:val="7"/>
          <w:sz w:val="24"/>
          <w:szCs w:val="24"/>
        </w:rPr>
        <w:t>将</w:t>
      </w:r>
      <w:r>
        <w:rPr>
          <w:rFonts w:hint="eastAsia" w:ascii="宋体" w:hAnsi="宋体" w:cs="宋体"/>
          <w:spacing w:val="5"/>
          <w:sz w:val="24"/>
          <w:szCs w:val="24"/>
        </w:rPr>
        <w:t>在内蒙古自治区通信管理局官网（https://nmca.miit.gov.cn/）发布</w:t>
      </w:r>
      <w:r>
        <w:rPr>
          <w:rFonts w:hint="eastAsia" w:ascii="宋体" w:hAnsi="宋体" w:cs="宋体"/>
          <w:sz w:val="24"/>
          <w:szCs w:val="24"/>
        </w:rPr>
        <w:t>公告、更正公告、通知、中标结果公告等信息。</w:t>
      </w:r>
    </w:p>
    <w:p>
      <w:pPr>
        <w:spacing w:before="38" w:line="360" w:lineRule="auto"/>
        <w:ind w:right="67"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如果响应人对此次采购活动有疑问</w:t>
      </w:r>
      <w:r>
        <w:rPr>
          <w:rFonts w:hint="eastAsia" w:ascii="宋体" w:hAnsi="宋体" w:cs="宋体"/>
          <w:spacing w:val="-113"/>
          <w:sz w:val="24"/>
          <w:szCs w:val="24"/>
        </w:rPr>
        <w:t>，</w:t>
      </w:r>
      <w:r>
        <w:rPr>
          <w:rFonts w:hint="eastAsia" w:ascii="宋体" w:hAnsi="宋体" w:cs="宋体"/>
          <w:sz w:val="24"/>
          <w:szCs w:val="24"/>
        </w:rPr>
        <w:t>可</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《中华人民共和国政府采购法》等相关规定，向采购人提出质疑。</w:t>
      </w:r>
    </w:p>
    <w:p>
      <w:pPr>
        <w:spacing w:before="38" w:line="360" w:lineRule="auto"/>
        <w:ind w:right="15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公告期内如有质疑</w:t>
      </w:r>
      <w:r>
        <w:rPr>
          <w:rFonts w:hint="eastAsia" w:ascii="宋体" w:hAnsi="宋体" w:cs="宋体"/>
          <w:spacing w:val="-36"/>
          <w:sz w:val="24"/>
          <w:szCs w:val="24"/>
        </w:rPr>
        <w:t>，</w:t>
      </w:r>
      <w:r>
        <w:rPr>
          <w:rFonts w:hint="eastAsia" w:ascii="宋体" w:hAnsi="宋体" w:cs="宋体"/>
          <w:sz w:val="24"/>
          <w:szCs w:val="24"/>
        </w:rPr>
        <w:t>采购人将依法给与答复</w:t>
      </w:r>
      <w:r>
        <w:rPr>
          <w:rFonts w:hint="eastAsia" w:ascii="宋体" w:hAnsi="宋体" w:cs="宋体"/>
          <w:spacing w:val="-36"/>
          <w:sz w:val="24"/>
          <w:szCs w:val="24"/>
        </w:rPr>
        <w:t>，</w:t>
      </w:r>
      <w:r>
        <w:rPr>
          <w:rFonts w:hint="eastAsia" w:ascii="宋体" w:hAnsi="宋体" w:cs="宋体"/>
          <w:sz w:val="24"/>
          <w:szCs w:val="24"/>
        </w:rPr>
        <w:t>并将结果告知所有当事人。</w:t>
      </w:r>
    </w:p>
    <w:p>
      <w:pPr>
        <w:snapToGrid w:val="0"/>
        <w:spacing w:line="360" w:lineRule="auto"/>
        <w:jc w:val="center"/>
        <w:rPr>
          <w:rFonts w:hint="eastAsia" w:ascii="宋体" w:hAnsi="宋体" w:cs="宋体"/>
          <w:b/>
          <w:kern w:val="44"/>
          <w:sz w:val="44"/>
          <w:szCs w:val="44"/>
        </w:rPr>
      </w:pPr>
    </w:p>
    <w:p>
      <w:pPr>
        <w:pStyle w:val="58"/>
        <w:rPr>
          <w:rFonts w:hint="eastAsia" w:ascii="宋体" w:hAnsi="宋体" w:cs="宋体"/>
          <w:b/>
          <w:kern w:val="44"/>
          <w:sz w:val="44"/>
          <w:szCs w:val="44"/>
        </w:rPr>
      </w:pPr>
    </w:p>
    <w:p>
      <w:pPr>
        <w:pStyle w:val="58"/>
        <w:rPr>
          <w:rFonts w:hint="eastAsia" w:ascii="宋体" w:hAnsi="宋体" w:cs="宋体"/>
          <w:b/>
          <w:kern w:val="44"/>
          <w:sz w:val="44"/>
          <w:szCs w:val="44"/>
        </w:rPr>
      </w:pPr>
    </w:p>
    <w:p>
      <w:pPr>
        <w:rPr>
          <w:rFonts w:hint="eastAsia"/>
        </w:rPr>
      </w:pPr>
    </w:p>
    <w:p>
      <w:pPr>
        <w:rPr>
          <w:rFonts w:hint="eastAsia"/>
        </w:rPr>
      </w:pPr>
    </w:p>
    <w:p>
      <w:pPr>
        <w:ind w:firstLine="883" w:firstLineChars="200"/>
        <w:rPr>
          <w:rFonts w:hint="eastAsia" w:ascii="宋体" w:hAnsi="宋体" w:cs="宋体"/>
          <w:b/>
          <w:kern w:val="44"/>
          <w:sz w:val="44"/>
          <w:szCs w:val="44"/>
          <w:highlight w:val="none"/>
        </w:rPr>
      </w:pPr>
      <w:r>
        <w:rPr>
          <w:rFonts w:hint="eastAsia" w:ascii="宋体" w:hAnsi="宋体" w:cs="宋体"/>
          <w:b/>
          <w:kern w:val="44"/>
          <w:sz w:val="44"/>
          <w:szCs w:val="44"/>
          <w:highlight w:val="none"/>
        </w:rPr>
        <w:br w:type="page"/>
      </w:r>
    </w:p>
    <w:p>
      <w:pPr>
        <w:snapToGrid w:val="0"/>
        <w:spacing w:line="360" w:lineRule="auto"/>
        <w:ind w:firstLine="883" w:firstLineChars="200"/>
        <w:jc w:val="center"/>
        <w:rPr>
          <w:rFonts w:hint="eastAsia" w:ascii="宋体" w:hAnsi="宋体" w:cs="宋体"/>
          <w:b/>
          <w:kern w:val="44"/>
          <w:sz w:val="44"/>
          <w:szCs w:val="44"/>
          <w:highlight w:val="none"/>
        </w:rPr>
      </w:pPr>
      <w:r>
        <w:rPr>
          <w:rFonts w:hint="eastAsia" w:ascii="宋体" w:hAnsi="宋体" w:cs="宋体"/>
          <w:b/>
          <w:kern w:val="44"/>
          <w:sz w:val="44"/>
          <w:szCs w:val="44"/>
          <w:highlight w:val="none"/>
        </w:rPr>
        <w:t>第三章、评审原则和方法</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一、本次评标采用综合评分法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即综合评审后全部满足磋商文件要求，得分由高到低顺序进行排列。得分相同的，按投标报价由低到高顺序排列。得分且投标报价相同的，按技术指标优劣顺序排列。最低报价不能作为中标的唯一保证。</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二、评标标准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政府采购货物和服务招标投标管理办法》及《中华人民共和国政府采购实施条例》相关法律、法规和规定，考虑采购项目的实际情况和特点，为了保护政府采购当事人的合法权益，遵循公开透明原则、公平竞争原则、公正原则和诚实信用原则。</w:t>
      </w:r>
    </w:p>
    <w:p>
      <w:pPr>
        <w:spacing w:line="360" w:lineRule="auto"/>
        <w:ind w:left="118" w:right="43"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政府采购应当有助于实现国家经济和社会发展政策目标，包括保护环境，扶持不发达地区和少数民族地区，促进中小企业发展等，并按</w:t>
      </w:r>
      <w:r>
        <w:rPr>
          <w:rFonts w:hint="eastAsia" w:ascii="宋体" w:hAnsi="宋体" w:cs="宋体"/>
          <w:sz w:val="24"/>
          <w:lang w:val="zh-CN"/>
        </w:rPr>
        <w:t>财库﹝2020﹞46 号</w:t>
      </w:r>
      <w:r>
        <w:rPr>
          <w:rFonts w:hint="eastAsia" w:ascii="宋体" w:hAnsi="宋体" w:cs="宋体"/>
          <w:sz w:val="24"/>
        </w:rPr>
        <w:t>文件</w:t>
      </w:r>
      <w:r>
        <w:rPr>
          <w:rFonts w:hint="eastAsia" w:ascii="宋体" w:hAnsi="宋体" w:cs="宋体"/>
          <w:sz w:val="24"/>
          <w:lang w:val="zh-CN"/>
        </w:rPr>
        <w:t>《政府采购促进中小企业发展管理办法》</w:t>
      </w:r>
      <w:r>
        <w:rPr>
          <w:rFonts w:hint="eastAsia" w:ascii="宋体" w:hAnsi="宋体" w:cs="宋体"/>
          <w:sz w:val="24"/>
        </w:rPr>
        <w:t>、财库〔2014〕68号文件《财政部 司法部关于政府采购支持监狱企业发展有关问题的通知》、财库〔2022〕19号文件《关于进一步加大政府采购支持中小企业力度的通知》执行。</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本次评标内容分为报价部分、商务部分、技术部分，各部分依据如下原则评定。</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三、评审办法</w:t>
      </w:r>
    </w:p>
    <w:p>
      <w:pPr>
        <w:autoSpaceDE w:val="0"/>
        <w:autoSpaceDN w:val="0"/>
        <w:spacing w:line="360" w:lineRule="auto"/>
        <w:ind w:firstLine="480" w:firstLineChars="200"/>
        <w:rPr>
          <w:rFonts w:hint="eastAsia" w:ascii="宋体" w:hAnsi="宋体" w:cs="宋体"/>
          <w:sz w:val="24"/>
          <w:szCs w:val="24"/>
          <w:highlight w:val="none"/>
        </w:rPr>
      </w:pPr>
      <w:bookmarkStart w:id="38" w:name="_Toc30399_WPSOffice_Level2"/>
      <w:bookmarkStart w:id="39" w:name="_Toc16252_WPSOffice_Level2"/>
      <w:r>
        <w:rPr>
          <w:rFonts w:hint="eastAsia" w:ascii="宋体" w:hAnsi="宋体" w:cs="宋体"/>
          <w:sz w:val="24"/>
          <w:szCs w:val="24"/>
        </w:rPr>
        <w:t>1.第一阶</w:t>
      </w:r>
      <w:r>
        <w:rPr>
          <w:rFonts w:hint="eastAsia" w:ascii="宋体" w:hAnsi="宋体" w:cs="宋体"/>
          <w:sz w:val="24"/>
          <w:szCs w:val="24"/>
          <w:highlight w:val="none"/>
        </w:rPr>
        <w:t>段：</w:t>
      </w:r>
      <w:bookmarkEnd w:id="38"/>
      <w:bookmarkEnd w:id="39"/>
      <w:r>
        <w:rPr>
          <w:rFonts w:hint="eastAsia" w:ascii="宋体" w:hAnsi="宋体" w:cs="宋体"/>
          <w:sz w:val="24"/>
          <w:szCs w:val="24"/>
          <w:highlight w:val="none"/>
        </w:rPr>
        <w:t>资格性审查</w:t>
      </w:r>
    </w:p>
    <w:tbl>
      <w:tblPr>
        <w:tblStyle w:val="30"/>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162"/>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49" w:type="dxa"/>
            <w:vMerge w:val="restart"/>
            <w:noWrap w:val="0"/>
            <w:vAlign w:val="center"/>
          </w:tcPr>
          <w:p>
            <w:pPr>
              <w:spacing w:line="360" w:lineRule="auto"/>
              <w:jc w:val="both"/>
              <w:rPr>
                <w:rFonts w:hint="eastAsia" w:ascii="宋体" w:hAnsi="宋体" w:cs="宋体"/>
                <w:kern w:val="0"/>
                <w:sz w:val="24"/>
                <w:szCs w:val="24"/>
                <w:highlight w:val="none"/>
              </w:rPr>
            </w:pPr>
            <w:r>
              <w:rPr>
                <w:rFonts w:hint="eastAsia" w:ascii="宋体" w:hAnsi="宋体" w:cs="宋体"/>
                <w:kern w:val="0"/>
                <w:sz w:val="24"/>
                <w:szCs w:val="24"/>
                <w:highlight w:val="none"/>
              </w:rPr>
              <w:t>资格性审查</w:t>
            </w:r>
          </w:p>
          <w:p>
            <w:pPr>
              <w:spacing w:line="360" w:lineRule="auto"/>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5587"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供应商代表人身份证明</w:t>
            </w:r>
          </w:p>
        </w:tc>
        <w:tc>
          <w:tcPr>
            <w:tcW w:w="5587" w:type="dxa"/>
            <w:noWrap w:val="0"/>
            <w:vAlign w:val="center"/>
          </w:tcPr>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法定代表人身份证明或法定代表人</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代理人身份证明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代理人授权委托书。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spacing w:line="360" w:lineRule="auto"/>
              <w:jc w:val="center"/>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具有独立承担民事责任的能力</w:t>
            </w:r>
          </w:p>
        </w:tc>
        <w:tc>
          <w:tcPr>
            <w:tcW w:w="5587" w:type="dxa"/>
            <w:shd w:val="clear" w:color="auto" w:fill="auto"/>
            <w:noWrap w:val="0"/>
            <w:vAlign w:val="center"/>
          </w:tcPr>
          <w:p>
            <w:pPr>
              <w:spacing w:line="360" w:lineRule="auto"/>
              <w:jc w:val="left"/>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审查</w:t>
            </w:r>
            <w:r>
              <w:rPr>
                <w:rFonts w:hint="eastAsia" w:eastAsia="Adobe 宋体 Std L"/>
                <w:snapToGrid w:val="0"/>
                <w:sz w:val="24"/>
                <w:szCs w:val="24"/>
                <w:highlight w:val="none"/>
              </w:rPr>
              <w:t>供应商</w:t>
            </w:r>
            <w:r>
              <w:rPr>
                <w:rFonts w:eastAsia="Adobe 宋体 Std L"/>
                <w:snapToGrid w:val="0"/>
                <w:sz w:val="24"/>
                <w:szCs w:val="24"/>
                <w:highlight w:val="none"/>
              </w:rPr>
              <w:t>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信用状况评价的网页截图（采购人或代理机构将在截止递交响应文件前一天至递交响应文件截止时间后一小时期间查询供应商的信用记录，供应商存在不良信用记录的，其响应将按无效处理）</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供应商未被列入失信被执行人、</w:t>
            </w:r>
            <w:r>
              <w:rPr>
                <w:rFonts w:hint="eastAsia" w:ascii="宋体" w:hAnsi="宋体" w:cs="宋体"/>
                <w:sz w:val="24"/>
                <w:szCs w:val="24"/>
                <w:highlight w:val="none"/>
                <w:lang w:eastAsia="zh-CN"/>
              </w:rPr>
              <w:t>重大税收违法失信主体</w:t>
            </w:r>
            <w:r>
              <w:rPr>
                <w:rFonts w:hint="eastAsia" w:ascii="宋体" w:hAnsi="宋体" w:cs="宋体"/>
                <w:sz w:val="24"/>
                <w:szCs w:val="24"/>
                <w:highlight w:val="none"/>
              </w:rPr>
              <w:t>、政府采购严重违法失信行为记录名单（通过“信用中国”（www.creditchina.gov.cn）、中国政府采购网（www.ccgp.gov.cn）查询相关信用记录的网站截图）。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有依法缴纳税收和社会保障资金的良好记录</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提供依法缴纳税收和社会保障资</w:t>
            </w:r>
            <w:r>
              <w:rPr>
                <w:rFonts w:hint="eastAsia" w:eastAsia="Adobe 宋体 Std L"/>
                <w:snapToGrid w:val="0"/>
                <w:sz w:val="24"/>
                <w:szCs w:val="24"/>
                <w:highlight w:val="none"/>
              </w:rPr>
              <w:t>金的相关材料。（</w:t>
            </w:r>
            <w:r>
              <w:rPr>
                <w:rFonts w:eastAsia="Adobe 宋体 Std L"/>
                <w:snapToGrid w:val="0"/>
                <w:sz w:val="24"/>
                <w:szCs w:val="24"/>
                <w:highlight w:val="none"/>
              </w:rPr>
              <w:t>1.</w:t>
            </w:r>
            <w:r>
              <w:rPr>
                <w:rFonts w:hint="eastAsia" w:eastAsia="Adobe 宋体 Std L"/>
                <w:snapToGrid w:val="0"/>
                <w:sz w:val="24"/>
                <w:szCs w:val="24"/>
                <w:highlight w:val="none"/>
              </w:rPr>
              <w:t>提供递交响应文件，截止之日前一年内（至少三个月）的良好缴纳税收的相关凭据。（以税务机关提供的纳税凭据或银行入账单为准。）</w:t>
            </w:r>
            <w:r>
              <w:rPr>
                <w:rFonts w:eastAsia="Adobe 宋体 Std L"/>
                <w:snapToGrid w:val="0"/>
                <w:sz w:val="24"/>
                <w:szCs w:val="24"/>
                <w:highlight w:val="none"/>
              </w:rPr>
              <w:t>2.</w:t>
            </w:r>
            <w:r>
              <w:rPr>
                <w:rFonts w:hint="eastAsia" w:eastAsia="Adobe 宋体 Std L"/>
                <w:snapToGrid w:val="0"/>
                <w:sz w:val="24"/>
                <w:szCs w:val="24"/>
                <w:highlight w:val="none"/>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良好的商业信誉和健全的财务会计制度</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具备良好的商业信誉和健全的财务会计制度</w:t>
            </w:r>
            <w:r>
              <w:rPr>
                <w:rFonts w:hint="eastAsia" w:eastAsia="Adobe 宋体 Std L"/>
                <w:snapToGrid w:val="0"/>
                <w:sz w:val="24"/>
                <w:szCs w:val="24"/>
                <w:highlight w:val="none"/>
              </w:rPr>
              <w:t>的相关材料。（</w:t>
            </w:r>
            <w:r>
              <w:rPr>
                <w:rFonts w:eastAsia="Adobe 宋体 Std L"/>
                <w:snapToGrid w:val="0"/>
                <w:sz w:val="24"/>
                <w:szCs w:val="24"/>
                <w:highlight w:val="none"/>
              </w:rPr>
              <w:t>202</w:t>
            </w:r>
            <w:r>
              <w:rPr>
                <w:rFonts w:hint="eastAsia" w:eastAsia="Adobe 宋体 Std L"/>
                <w:snapToGrid w:val="0"/>
                <w:sz w:val="24"/>
                <w:szCs w:val="24"/>
                <w:highlight w:val="none"/>
                <w:lang w:val="en-US" w:eastAsia="zh-CN"/>
              </w:rPr>
              <w:t>4</w:t>
            </w:r>
            <w:r>
              <w:rPr>
                <w:rFonts w:hint="eastAsia" w:eastAsia="Adobe 宋体 Std L"/>
                <w:snapToGrid w:val="0"/>
                <w:sz w:val="24"/>
                <w:szCs w:val="24"/>
                <w:highlight w:val="none"/>
              </w:rPr>
              <w:t>年度经会计师事务所出具的财务审计报告或其基本开户银行出具的近一年内的银行资信证明或相关承诺。）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书面声明</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提供参加政府采购活动前3年内在经营活动中没有重大违法记录的书面声明（格式自拟）、提供“具有履行本合同所必需的专业技术能力”的书面声明（格式自拟）。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8" w:type="dxa"/>
            <w:gridSpan w:val="3"/>
            <w:noWrap w:val="0"/>
            <w:vAlign w:val="center"/>
          </w:tcPr>
          <w:p>
            <w:pPr>
              <w:spacing w:line="360" w:lineRule="auto"/>
              <w:ind w:firstLine="600" w:firstLineChars="250"/>
              <w:jc w:val="center"/>
              <w:rPr>
                <w:rFonts w:hint="eastAsia" w:ascii="宋体" w:hAnsi="宋体" w:cs="宋体"/>
                <w:kern w:val="0"/>
                <w:sz w:val="24"/>
                <w:szCs w:val="24"/>
                <w:highlight w:val="none"/>
              </w:rPr>
            </w:pPr>
            <w:r>
              <w:rPr>
                <w:rFonts w:hint="eastAsia" w:ascii="宋体" w:hAnsi="宋体" w:cs="宋体"/>
                <w:kern w:val="0"/>
                <w:sz w:val="24"/>
                <w:szCs w:val="24"/>
                <w:highlight w:val="none"/>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798" w:type="dxa"/>
            <w:gridSpan w:val="3"/>
            <w:noWrap w:val="0"/>
            <w:vAlign w:val="center"/>
          </w:tcPr>
          <w:p>
            <w:pPr>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不合格划×，合格划√。</w:t>
            </w:r>
          </w:p>
          <w:p>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由评委会对上述内容对供应商进行审查，审查不合格的，不得进人详细评审程序。</w:t>
            </w:r>
          </w:p>
          <w:p>
            <w:pPr>
              <w:numPr>
                <w:ilvl w:val="0"/>
                <w:numId w:val="0"/>
              </w:numPr>
              <w:spacing w:line="360" w:lineRule="auto"/>
              <w:ind w:firstLine="960" w:firstLineChars="400"/>
              <w:jc w:val="left"/>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default" w:ascii="宋体" w:hAnsi="宋体" w:eastAsia="宋体" w:cs="宋体"/>
                <w:kern w:val="0"/>
                <w:sz w:val="24"/>
                <w:szCs w:val="24"/>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tc>
      </w:tr>
    </w:tbl>
    <w:p>
      <w:pPr>
        <w:spacing w:line="360" w:lineRule="auto"/>
        <w:rPr>
          <w:rFonts w:hint="eastAsia" w:ascii="宋体" w:hAnsi="宋体" w:cs="宋体"/>
        </w:rPr>
      </w:pP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2.第二阶段：符合性审查</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95"/>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2"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评审</w:t>
            </w:r>
          </w:p>
          <w:p>
            <w:pPr>
              <w:spacing w:line="360" w:lineRule="auto"/>
              <w:jc w:val="center"/>
              <w:rPr>
                <w:rFonts w:hint="eastAsia" w:ascii="宋体" w:hAnsi="宋体" w:cs="宋体"/>
                <w:kern w:val="0"/>
                <w:sz w:val="24"/>
                <w:szCs w:val="24"/>
              </w:rPr>
            </w:pPr>
            <w:r>
              <w:rPr>
                <w:rFonts w:hint="eastAsia" w:ascii="宋体" w:hAnsi="宋体" w:cs="宋体"/>
                <w:kern w:val="0"/>
                <w:sz w:val="24"/>
                <w:szCs w:val="24"/>
              </w:rPr>
              <w:t>项目</w:t>
            </w:r>
          </w:p>
        </w:tc>
        <w:tc>
          <w:tcPr>
            <w:tcW w:w="2595" w:type="dxa"/>
            <w:noWrap w:val="0"/>
            <w:vAlign w:val="center"/>
          </w:tcPr>
          <w:p>
            <w:pPr>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评审因素</w:t>
            </w:r>
          </w:p>
        </w:tc>
        <w:tc>
          <w:tcPr>
            <w:tcW w:w="6277" w:type="dxa"/>
            <w:noWrap w:val="0"/>
            <w:vAlign w:val="center"/>
          </w:tcPr>
          <w:p>
            <w:pPr>
              <w:spacing w:line="360" w:lineRule="auto"/>
              <w:ind w:firstLine="600" w:firstLineChars="250"/>
              <w:jc w:val="center"/>
              <w:rPr>
                <w:rFonts w:ascii="宋体" w:hAnsi="宋体" w:cs="宋体"/>
                <w:kern w:val="0"/>
                <w:sz w:val="24"/>
                <w:szCs w:val="24"/>
              </w:rPr>
            </w:pPr>
            <w:r>
              <w:rPr>
                <w:rFonts w:hint="eastAsia" w:ascii="宋体" w:hAnsi="宋体" w:cs="宋体"/>
                <w:kern w:val="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restart"/>
            <w:noWrap w:val="0"/>
            <w:vAlign w:val="center"/>
          </w:tcPr>
          <w:p>
            <w:pPr>
              <w:spacing w:line="360" w:lineRule="auto"/>
              <w:ind w:firstLine="600" w:firstLineChars="250"/>
              <w:jc w:val="center"/>
              <w:rPr>
                <w:rFonts w:hint="eastAsia" w:ascii="宋体" w:hAnsi="宋体" w:cs="宋体"/>
                <w:kern w:val="0"/>
                <w:sz w:val="24"/>
                <w:szCs w:val="24"/>
              </w:rPr>
            </w:pPr>
          </w:p>
          <w:p>
            <w:pPr>
              <w:spacing w:line="360" w:lineRule="auto"/>
              <w:jc w:val="center"/>
              <w:rPr>
                <w:rFonts w:hint="eastAsia" w:ascii="宋体" w:hAnsi="宋体" w:cs="宋体"/>
                <w:kern w:val="0"/>
                <w:sz w:val="24"/>
                <w:szCs w:val="24"/>
              </w:rPr>
            </w:pPr>
            <w:r>
              <w:rPr>
                <w:rFonts w:hint="eastAsia" w:ascii="宋体" w:hAnsi="宋体" w:cs="宋体"/>
                <w:kern w:val="0"/>
                <w:sz w:val="24"/>
                <w:szCs w:val="24"/>
              </w:rPr>
              <w:t>符合性审查</w:t>
            </w:r>
          </w:p>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竞标文件签字盖章</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响应文件编制</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是否按规定格式编写、装订、密封，关键内容是否无字迹模糊，无法辨认的情况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授权委托书</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是否出现“响应文件无法定代表人签字或签字人无法定代表人有效授权的”的情形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报价未超预算</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color w:val="000000"/>
                <w:sz w:val="24"/>
                <w:szCs w:val="24"/>
              </w:rPr>
              <w:t>竞标总价是否超过本项目采购总预算，导致采购人不能支付的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竞标内容和范围</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磋商保证金</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kern w:val="0"/>
                <w:sz w:val="24"/>
                <w:szCs w:val="24"/>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tcBorders>
              <w:bottom w:val="single" w:color="auto" w:sz="4" w:space="0"/>
            </w:tcBorders>
            <w:noWrap w:val="0"/>
            <w:vAlign w:val="center"/>
          </w:tcPr>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1.</w:t>
            </w:r>
            <w:r>
              <w:rPr>
                <w:rFonts w:hint="eastAsia" w:ascii="宋体" w:hAnsi="宋体" w:cs="宋体"/>
                <w:kern w:val="0"/>
                <w:sz w:val="24"/>
                <w:szCs w:val="24"/>
              </w:rPr>
              <w:t>不合格划×，合格划√。</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半数以上评委认为竞标文件有上述情形之一不合格的，为未能通过初步评审，不得进人详细评审程序。</w:t>
            </w:r>
          </w:p>
        </w:tc>
      </w:tr>
    </w:tbl>
    <w:p>
      <w:pPr>
        <w:spacing w:line="360" w:lineRule="auto"/>
        <w:rPr>
          <w:rFonts w:hint="eastAsia" w:ascii="宋体" w:hAnsi="宋体" w:cs="宋体"/>
        </w:rPr>
      </w:pPr>
    </w:p>
    <w:p>
      <w:pPr>
        <w:spacing w:line="360" w:lineRule="auto"/>
        <w:ind w:left="118" w:right="43" w:firstLine="480" w:firstLineChars="200"/>
        <w:jc w:val="left"/>
        <w:rPr>
          <w:rFonts w:hint="eastAsia" w:ascii="宋体" w:hAnsi="宋体" w:cs="宋体"/>
          <w:sz w:val="24"/>
          <w:szCs w:val="24"/>
        </w:rPr>
      </w:pPr>
      <w:r>
        <w:rPr>
          <w:rFonts w:hint="eastAsia" w:ascii="宋体" w:hAnsi="宋体" w:cs="宋体"/>
          <w:sz w:val="24"/>
          <w:szCs w:val="24"/>
        </w:rPr>
        <w:t>3.第三阶段：技术和商务评审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3.1按照采购文件要求，审查投标人相关服务，记录实质性响应、技术偏离等事项，进行技术文件评审。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3.2按照采购文件要求，审查投标人报价、业绩、政策性加分等，记录相关事项，进行商务文件评审。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技术文件由评标委员会成员各自独立打分，按照本采购文件规定的评标办法进行逐项打分，对客观评分项的评分应当一致，对需要借助专业知识评判的主观评分项应当严格按照评分标准公正评分。</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3.3评分结束后，由评标委员会对投标人的报价、技术和商务得分以及政策加分进行最后的复核，并签字确认。</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3.4投标人的综合得分=价格部分得分+技术部分得分+商务部分得分。</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三、评分标准分项明细表</w:t>
      </w:r>
    </w:p>
    <w:tbl>
      <w:tblPr>
        <w:tblStyle w:val="30"/>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4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1"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内容、分值</w:t>
            </w:r>
          </w:p>
        </w:tc>
        <w:tc>
          <w:tcPr>
            <w:tcW w:w="2040"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评分因素分项</w:t>
            </w:r>
          </w:p>
        </w:tc>
        <w:tc>
          <w:tcPr>
            <w:tcW w:w="6182"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1"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投标报价</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204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投标价格</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6182" w:type="dxa"/>
            <w:vAlign w:val="center"/>
          </w:tcPr>
          <w:p>
            <w:pPr>
              <w:pStyle w:val="28"/>
              <w:spacing w:line="360" w:lineRule="auto"/>
              <w:ind w:firstLine="0" w:firstLineChars="0"/>
              <w:jc w:val="left"/>
              <w:rPr>
                <w:color w:val="FF0000"/>
                <w:spacing w:val="-4"/>
                <w:sz w:val="24"/>
                <w:highlight w:val="none"/>
              </w:rPr>
            </w:pPr>
            <w:r>
              <w:rPr>
                <w:rFonts w:hint="eastAsia" w:ascii="仿宋" w:hAnsi="仿宋" w:eastAsia="仿宋" w:cs="仿宋"/>
                <w:color w:val="auto"/>
                <w:kern w:val="2"/>
                <w:sz w:val="24"/>
                <w:szCs w:val="24"/>
                <w:highlight w:val="none"/>
                <w:lang w:val="zh-CN"/>
              </w:rPr>
              <w:t>磋商报价超过采购预算的，响应无效，未超过采购预算的磋商报价按以下公式进行计算：</w:t>
            </w:r>
            <w:r>
              <w:rPr>
                <w:rFonts w:hint="eastAsia" w:ascii="Times New Roman" w:hAnsi="Times New Roman" w:eastAsia="宋体" w:cs="Times New Roman"/>
                <w:b w:val="0"/>
                <w:bCs/>
                <w:kern w:val="2"/>
                <w:sz w:val="21"/>
                <w:highlight w:val="none"/>
                <w:lang w:val="en-US" w:eastAsia="zh-CN" w:bidi="ar-SA"/>
              </w:rPr>
              <w:t>投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1281" w:type="dxa"/>
            <w:vMerge w:val="restart"/>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技术部分</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（60分）</w:t>
            </w:r>
          </w:p>
        </w:tc>
        <w:tc>
          <w:tcPr>
            <w:tcW w:w="2040" w:type="dxa"/>
            <w:vAlign w:val="center"/>
          </w:tcPr>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技术方案</w:t>
            </w:r>
          </w:p>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（20分）</w:t>
            </w:r>
          </w:p>
        </w:tc>
        <w:tc>
          <w:tcPr>
            <w:tcW w:w="6182" w:type="dxa"/>
            <w:vAlign w:val="center"/>
          </w:tcPr>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Calibri" w:hAnsi="Calibri" w:eastAsia="宋体" w:cs="Times New Roman"/>
                <w:szCs w:val="21"/>
                <w:highlight w:val="none"/>
              </w:rPr>
              <w:t>对</w:t>
            </w:r>
            <w:r>
              <w:rPr>
                <w:rFonts w:hint="eastAsia" w:ascii="Calibri" w:hAnsi="Calibri" w:cs="Times New Roman"/>
                <w:szCs w:val="21"/>
                <w:highlight w:val="none"/>
                <w:lang w:eastAsia="zh-CN"/>
              </w:rPr>
              <w:t>支撑</w:t>
            </w:r>
            <w:r>
              <w:rPr>
                <w:rFonts w:hint="eastAsia" w:ascii="Calibri" w:hAnsi="Calibri" w:eastAsia="宋体" w:cs="Times New Roman"/>
                <w:szCs w:val="21"/>
                <w:highlight w:val="none"/>
              </w:rPr>
              <w:t>信息通信领域执法监管法规政策与实务操作</w:t>
            </w:r>
            <w:r>
              <w:rPr>
                <w:rFonts w:hint="eastAsia" w:ascii="Calibri" w:hAnsi="Calibri" w:cs="Times New Roman"/>
                <w:szCs w:val="21"/>
                <w:highlight w:val="none"/>
                <w:lang w:eastAsia="zh-CN"/>
              </w:rPr>
              <w:t>方面的技术方案</w:t>
            </w:r>
            <w:r>
              <w:rPr>
                <w:rFonts w:hint="eastAsia" w:ascii="Calibri" w:hAnsi="Calibri" w:eastAsia="宋体" w:cs="Times New Roman"/>
                <w:szCs w:val="21"/>
                <w:highlight w:val="none"/>
              </w:rPr>
              <w:t>，支撑案件办理的经验，以及需要采购人了解的其它问题等方面</w:t>
            </w:r>
            <w:r>
              <w:rPr>
                <w:rFonts w:hint="eastAsia" w:ascii="Calibri" w:hAnsi="Calibri" w:cs="Times New Roman"/>
                <w:szCs w:val="21"/>
                <w:highlight w:val="none"/>
                <w:lang w:eastAsia="zh-CN"/>
              </w:rPr>
              <w:t>。</w:t>
            </w:r>
          </w:p>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Theme="minorEastAsia" w:hAnsiTheme="minorEastAsia" w:eastAsiaTheme="minorEastAsia" w:cstheme="minorEastAsia"/>
                <w:szCs w:val="21"/>
                <w:highlight w:val="none"/>
                <w:lang w:val="en-US" w:eastAsia="zh-CN"/>
              </w:rPr>
              <w:t>1</w:t>
            </w:r>
            <w:r>
              <w:rPr>
                <w:rFonts w:hint="eastAsia" w:ascii="Calibri" w:hAnsi="Calibri" w:eastAsia="宋体" w:cs="Times New Roman"/>
                <w:szCs w:val="21"/>
                <w:highlight w:val="none"/>
                <w:lang w:val="en-US" w:eastAsia="zh-CN"/>
              </w:rPr>
              <w:t>.</w:t>
            </w:r>
            <w:r>
              <w:rPr>
                <w:rFonts w:hint="eastAsia" w:asciiTheme="minorEastAsia" w:hAnsiTheme="minorEastAsia" w:eastAsiaTheme="minorEastAsia" w:cstheme="minorEastAsia"/>
                <w:szCs w:val="21"/>
                <w:highlight w:val="none"/>
                <w:lang w:val="en-US" w:eastAsia="zh-CN"/>
              </w:rPr>
              <w:t>方案内容完全涵盖并优于上述方面，内容详实，方案合理、逻辑清晰，认定准确、无错漏的，得20分；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lang w:eastAsia="zh-CN"/>
              </w:rPr>
              <w:t>方案内容基本涵盖上述方面，内容比较完整详实，措施比较合理、无明显错漏的，得</w:t>
            </w:r>
            <w:r>
              <w:rPr>
                <w:rFonts w:hint="eastAsia" w:asciiTheme="minorEastAsia" w:hAnsiTheme="minorEastAsia" w:eastAsiaTheme="minorEastAsia" w:cstheme="minorEastAsia"/>
                <w:szCs w:val="21"/>
                <w:highlight w:val="none"/>
                <w:lang w:val="en-US" w:eastAsia="zh-CN"/>
              </w:rPr>
              <w:t>16</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lang w:eastAsia="zh-CN"/>
              </w:rPr>
              <w:t>方案内容涵盖上述方面，内容完整，措施合理、无明显错漏的，得</w:t>
            </w: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方案内容完整，措施</w:t>
            </w:r>
            <w:r>
              <w:rPr>
                <w:rFonts w:hint="eastAsia" w:asciiTheme="minorEastAsia" w:hAnsiTheme="minorEastAsia" w:eastAsiaTheme="minorEastAsia" w:cstheme="minorEastAsia"/>
                <w:szCs w:val="21"/>
                <w:highlight w:val="none"/>
                <w:lang w:val="en-US" w:eastAsia="zh-CN"/>
              </w:rPr>
              <w:t>一般</w:t>
            </w:r>
            <w:r>
              <w:rPr>
                <w:rFonts w:hint="eastAsia" w:asciiTheme="minorEastAsia" w:hAnsiTheme="minorEastAsia" w:eastAsiaTheme="minorEastAsia" w:cstheme="minorEastAsia"/>
                <w:szCs w:val="21"/>
                <w:highlight w:val="none"/>
                <w:lang w:eastAsia="zh-CN"/>
              </w:rPr>
              <w:t>合理，得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方案内容过于简单、措施表述不清晰或与本项目关联度低的，得</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Calibri" w:hAnsi="Calibri" w:eastAsia="宋体" w:cs="Times New Roman"/>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lang w:eastAsia="zh-CN"/>
              </w:rPr>
              <w:t>技术方案内容与本项目无关或无法提供方案的，得0分。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交流研讨方案</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vAlign w:val="center"/>
          </w:tcPr>
          <w:p>
            <w:pPr>
              <w:pStyle w:val="15"/>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交流研讨内容（一年提供不少于3次交流，每次安排2-4个主题）、培训方式、培训时长等方面。</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1.培训方案完全涵盖并优于上述方面，科学详细、合理可行、与实际结合紧密的，完全满足本项目要求的得20分；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2.培训方案基本涵盖上述方面，较为详细、合理可行、与实际结合较为紧密的，基本满足本项目要求的得13分；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3.培训方案未涵盖上述方面，内容简单，不能完全满足本项目要求的得6分；</w:t>
            </w:r>
          </w:p>
          <w:p>
            <w:pPr>
              <w:pStyle w:val="15"/>
              <w:numPr>
                <w:ilvl w:val="0"/>
                <w:numId w:val="0"/>
              </w:numPr>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4.未提供培训方案的，得0分。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shd w:val="clear" w:color="auto" w:fill="auto"/>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针对本项目的测评服务团队人员的资质证书情况</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 xml:space="preserve"> (25分)</w:t>
            </w:r>
          </w:p>
        </w:tc>
        <w:tc>
          <w:tcPr>
            <w:tcW w:w="6182" w:type="dxa"/>
            <w:shd w:val="clear" w:color="auto" w:fill="auto"/>
            <w:vAlign w:val="center"/>
          </w:tcPr>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cs="Times New Roman"/>
                <w:b w:val="0"/>
                <w:bCs/>
                <w:kern w:val="2"/>
                <w:sz w:val="21"/>
                <w:highlight w:val="none"/>
                <w:lang w:val="en-US" w:eastAsia="zh-CN" w:bidi="ar-SA"/>
              </w:rPr>
              <w:t>拟投入本项目的服务团队人员</w:t>
            </w:r>
            <w:r>
              <w:rPr>
                <w:rFonts w:hint="eastAsia" w:ascii="Times New Roman" w:hAnsi="Times New Roman" w:eastAsia="宋体" w:cs="Times New Roman"/>
                <w:b w:val="0"/>
                <w:bCs/>
                <w:kern w:val="2"/>
                <w:sz w:val="21"/>
                <w:highlight w:val="none"/>
                <w:lang w:val="en-US" w:eastAsia="zh-CN" w:bidi="ar-SA"/>
              </w:rPr>
              <w:t>具有通过国家统一法律职业资格考试取得法律职业资格、工作年限不少于五年</w:t>
            </w:r>
            <w:r>
              <w:rPr>
                <w:rFonts w:hint="eastAsia" w:ascii="Times New Roman" w:hAnsi="Times New Roman" w:cs="Times New Roman"/>
                <w:b w:val="0"/>
                <w:bCs/>
                <w:kern w:val="2"/>
                <w:sz w:val="21"/>
                <w:highlight w:val="none"/>
                <w:lang w:val="en-US" w:eastAsia="zh-CN" w:bidi="ar-SA"/>
              </w:rPr>
              <w:t>，每提供一人得5分，最多得25分。</w:t>
            </w:r>
          </w:p>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eastAsia="宋体" w:cs="Times New Roman"/>
                <w:b w:val="0"/>
                <w:bCs/>
                <w:kern w:val="2"/>
                <w:sz w:val="21"/>
                <w:highlight w:val="none"/>
                <w:lang w:val="en-US" w:eastAsia="zh-CN" w:bidi="ar-SA"/>
              </w:rPr>
              <w:t xml:space="preserve"> （注：本项需同时提供上述证书原件扫描件以及投标供应商为该测评服务人员缴纳至少1</w:t>
            </w:r>
            <w:r>
              <w:rPr>
                <w:rFonts w:hint="eastAsia" w:ascii="Times New Roman" w:hAnsi="Times New Roman" w:cs="Times New Roman"/>
                <w:b w:val="0"/>
                <w:bCs/>
                <w:kern w:val="2"/>
                <w:sz w:val="21"/>
                <w:highlight w:val="none"/>
                <w:lang w:val="en-US" w:eastAsia="zh-CN" w:bidi="ar-SA"/>
              </w:rPr>
              <w:t>年</w:t>
            </w:r>
            <w:r>
              <w:rPr>
                <w:rFonts w:hint="eastAsia" w:ascii="Times New Roman" w:hAnsi="Times New Roman" w:eastAsia="宋体" w:cs="Times New Roman"/>
                <w:b w:val="0"/>
                <w:bCs/>
                <w:kern w:val="2"/>
                <w:sz w:val="21"/>
                <w:highlight w:val="none"/>
                <w:lang w:val="en-US" w:eastAsia="zh-CN" w:bidi="ar-SA"/>
              </w:rPr>
              <w:t>社保证明材料，否则不计算得分。</w:t>
            </w:r>
            <w:r>
              <w:rPr>
                <w:rFonts w:hint="eastAsia" w:ascii="Times New Roman" w:hAnsi="Times New Roman" w:cs="Times New Roman"/>
                <w:b w:val="0"/>
                <w:bCs/>
                <w:kern w:val="2"/>
                <w:sz w:val="21"/>
                <w:highlight w:val="none"/>
                <w:lang w:val="en-US" w:eastAsia="zh-CN" w:bidi="ar-SA"/>
              </w:rPr>
              <w:t>同一人不得重复计分</w:t>
            </w:r>
            <w:r>
              <w:rPr>
                <w:rFonts w:hint="eastAsia" w:ascii="Times New Roman" w:hAnsi="Times New Roman" w:eastAsia="宋体" w:cs="Times New Roman"/>
                <w:b w:val="0"/>
                <w:bCs/>
                <w:kern w:val="2"/>
                <w:sz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1281" w:type="dxa"/>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商务部分</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b w:val="0"/>
                <w:bCs/>
                <w:kern w:val="2"/>
                <w:sz w:val="21"/>
                <w:highlight w:val="none"/>
                <w:lang w:val="en-US" w:eastAsia="zh-CN" w:bidi="ar-SA"/>
              </w:rPr>
              <w:t>（20分）</w:t>
            </w:r>
          </w:p>
        </w:tc>
        <w:tc>
          <w:tcPr>
            <w:tcW w:w="2040" w:type="dxa"/>
            <w:shd w:val="clear" w:color="auto" w:fill="auto"/>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shd w:val="clear" w:color="auto" w:fill="auto"/>
            <w:vAlign w:val="center"/>
          </w:tcPr>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供应商需有</w:t>
            </w:r>
            <w:r>
              <w:rPr>
                <w:rFonts w:hint="eastAsia" w:ascii="宋体" w:hAnsi="宋体" w:eastAsia="宋体" w:cs="宋体"/>
                <w:kern w:val="2"/>
                <w:sz w:val="21"/>
                <w:szCs w:val="21"/>
                <w:highlight w:val="none"/>
                <w:lang w:val="en-US" w:eastAsia="zh-CN" w:bidi="ar-SA"/>
              </w:rPr>
              <w:t>为工业和信息化部有关通信行业司局或至少一地通信管理局支撑案件办理的经验</w:t>
            </w:r>
            <w:r>
              <w:rPr>
                <w:rFonts w:hint="eastAsia" w:ascii="宋体" w:hAnsi="宋体" w:cs="宋体"/>
                <w:kern w:val="2"/>
                <w:sz w:val="21"/>
                <w:szCs w:val="21"/>
                <w:highlight w:val="none"/>
                <w:lang w:val="en-US" w:eastAsia="zh-CN" w:bidi="ar-SA"/>
              </w:rPr>
              <w:t>。</w:t>
            </w:r>
          </w:p>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根据投标供应商提供的</w:t>
            </w:r>
            <w:r>
              <w:rPr>
                <w:rFonts w:hint="eastAsia" w:ascii="宋体" w:hAnsi="宋体" w:cs="宋体"/>
                <w:kern w:val="2"/>
                <w:sz w:val="21"/>
                <w:szCs w:val="21"/>
                <w:highlight w:val="none"/>
                <w:lang w:val="en-US" w:eastAsia="zh-CN" w:bidi="ar-SA"/>
              </w:rPr>
              <w:t>近三年</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投标截止时间前三年</w:t>
            </w:r>
            <w:r>
              <w:rPr>
                <w:rFonts w:hint="eastAsia" w:ascii="宋体" w:hAnsi="宋体" w:eastAsia="宋体" w:cs="宋体"/>
                <w:kern w:val="2"/>
                <w:sz w:val="21"/>
                <w:szCs w:val="21"/>
                <w:highlight w:val="none"/>
                <w:lang w:val="en-US" w:eastAsia="zh-CN" w:bidi="ar-SA"/>
              </w:rPr>
              <w:t>，以合同签订时间为准）同类项目业绩进行评审，每提供一份真实有效的同类业绩合同</w:t>
            </w:r>
            <w:r>
              <w:rPr>
                <w:rFonts w:hint="eastAsia" w:ascii="宋体" w:hAnsi="宋体" w:cs="宋体"/>
                <w:kern w:val="2"/>
                <w:sz w:val="21"/>
                <w:szCs w:val="21"/>
                <w:highlight w:val="none"/>
                <w:lang w:val="en-US" w:eastAsia="zh-CN" w:bidi="ar-SA"/>
              </w:rPr>
              <w:t>或协议书的</w:t>
            </w:r>
            <w:r>
              <w:rPr>
                <w:rFonts w:hint="eastAsia" w:ascii="宋体" w:hAnsi="宋体" w:eastAsia="宋体" w:cs="宋体"/>
                <w:kern w:val="2"/>
                <w:sz w:val="21"/>
                <w:szCs w:val="21"/>
                <w:highlight w:val="none"/>
                <w:lang w:val="en-US" w:eastAsia="zh-CN" w:bidi="ar-SA"/>
              </w:rPr>
              <w:t>得2分，本项最高得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0分。（注：本项需提供合同</w:t>
            </w:r>
            <w:r>
              <w:rPr>
                <w:rFonts w:hint="eastAsia" w:ascii="宋体" w:hAnsi="宋体" w:cs="宋体"/>
                <w:kern w:val="2"/>
                <w:sz w:val="21"/>
                <w:szCs w:val="21"/>
                <w:highlight w:val="none"/>
                <w:lang w:val="en-US" w:eastAsia="zh-CN" w:bidi="ar-SA"/>
              </w:rPr>
              <w:t>或协议书</w:t>
            </w:r>
            <w:r>
              <w:rPr>
                <w:rFonts w:hint="eastAsia" w:ascii="宋体" w:hAnsi="宋体" w:eastAsia="宋体" w:cs="宋体"/>
                <w:kern w:val="2"/>
                <w:sz w:val="21"/>
                <w:szCs w:val="21"/>
                <w:highlight w:val="none"/>
                <w:lang w:val="en-US" w:eastAsia="zh-CN" w:bidi="ar-SA"/>
              </w:rPr>
              <w:t>原件扫描件作为佐证材料）</w:t>
            </w:r>
          </w:p>
        </w:tc>
      </w:tr>
    </w:tbl>
    <w:p>
      <w:pPr>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highlight w:val="none"/>
          <w:lang w:val="zh-CN"/>
        </w:rPr>
      </w:pPr>
      <w:bookmarkStart w:id="40" w:name="_Toc380479120"/>
      <w:r>
        <w:rPr>
          <w:rFonts w:hint="eastAsia" w:ascii="宋体" w:hAnsi="宋体" w:cs="宋体"/>
          <w:sz w:val="24"/>
          <w:szCs w:val="24"/>
          <w:highlight w:val="none"/>
          <w:lang w:val="zh-CN"/>
        </w:rPr>
        <w:t>注1：价格分数保留两位小数。</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注2：根据《政府采购促进中小企业发展管理办法》（财库﹝2020﹞46 号）、</w:t>
      </w:r>
      <w:r>
        <w:rPr>
          <w:rFonts w:hint="eastAsia" w:ascii="宋体" w:hAnsi="宋体" w:cs="宋体"/>
          <w:sz w:val="24"/>
          <w:szCs w:val="24"/>
          <w:highlight w:val="none"/>
        </w:rPr>
        <w:t>《关于进一步加大政府采购支持中小企业力度的通知》（财库〔2022〕19号）、</w:t>
      </w:r>
      <w:r>
        <w:rPr>
          <w:rFonts w:hint="eastAsia" w:ascii="宋体" w:hAnsi="宋体" w:cs="宋体"/>
          <w:sz w:val="24"/>
          <w:szCs w:val="24"/>
          <w:highlight w:val="none"/>
          <w:lang w:val="zh-CN"/>
        </w:rPr>
        <w:t>《财政部 司法部关于政府采购支持监狱企业发展有关问题的通知》（财库〔2014〕68号）、《财政部、民政部、中国残疾人联合会关于促进残疾人就业政府采购政策的通知》（财库〔2017〕141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注3：联合协议中约定，小型、微型企业和监狱企业的协议合同金额占到联合体协议合同总金额30%以上的，可给予联合体前附表中规定比例的价格扣除。</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联合体各方均为小型、微型企业和监狱企业的，联合体视同为小型、微型企业和监狱企业。</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注4：供应商所投产品如被列入财政部与国家主管部门颁发的节能产品目录或环境标志产品目录或无线局域网产品目录，应提供相关证明，在评标时予以优先采购。</w:t>
      </w: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注5：如采购人所采购产品为政府强制采购的节能产品，供应商所投产品的品牌及型号必须为清单中有效期内产品并提供证明文件，否则其投标将作为无效投标被拒绝。</w:t>
      </w:r>
    </w:p>
    <w:p>
      <w:pPr>
        <w:snapToGrid w:val="0"/>
        <w:spacing w:line="360" w:lineRule="auto"/>
        <w:ind w:firstLine="480" w:firstLineChars="200"/>
        <w:rPr>
          <w:rFonts w:hint="eastAsia" w:ascii="宋体" w:hAnsi="宋体" w:cs="宋体"/>
          <w:sz w:val="24"/>
          <w:szCs w:val="24"/>
          <w:lang w:val="zh-CN"/>
        </w:rPr>
      </w:pPr>
    </w:p>
    <w:p>
      <w:pPr>
        <w:pStyle w:val="58"/>
        <w:rPr>
          <w:rFonts w:hint="eastAsia" w:cs="宋体"/>
          <w:szCs w:val="24"/>
          <w:lang w:val="zh-CN"/>
        </w:rPr>
      </w:pPr>
    </w:p>
    <w:p>
      <w:pPr>
        <w:rPr>
          <w:rFonts w:hint="eastAsia" w:cs="宋体"/>
          <w:szCs w:val="24"/>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8"/>
        <w:rPr>
          <w:rFonts w:hint="eastAsia" w:cs="宋体"/>
          <w:szCs w:val="24"/>
          <w:lang w:val="zh-CN"/>
        </w:rPr>
        <w:sectPr>
          <w:footerReference r:id="rId4" w:type="default"/>
          <w:pgSz w:w="11920" w:h="16840"/>
          <w:pgMar w:top="1440" w:right="1134" w:bottom="1440" w:left="1134" w:header="720" w:footer="720" w:gutter="0"/>
          <w:pgNumType w:fmt="decimal" w:start="1"/>
          <w:cols w:space="720" w:num="1"/>
        </w:sectPr>
      </w:pPr>
    </w:p>
    <w:p>
      <w:pPr>
        <w:pStyle w:val="3"/>
        <w:numPr>
          <w:ilvl w:val="0"/>
          <w:numId w:val="0"/>
        </w:numPr>
        <w:tabs>
          <w:tab w:val="left" w:pos="3563"/>
          <w:tab w:val="center" w:pos="6315"/>
        </w:tabs>
        <w:spacing w:before="0" w:after="0" w:line="480" w:lineRule="exact"/>
        <w:jc w:val="center"/>
        <w:rPr>
          <w:rFonts w:hint="eastAsia" w:ascii="宋体" w:hAnsi="宋体" w:cs="宋体"/>
          <w:highlight w:val="none"/>
        </w:rPr>
      </w:pPr>
      <w:r>
        <w:rPr>
          <w:rFonts w:hint="eastAsia" w:ascii="宋体" w:hAnsi="宋体" w:cs="宋体"/>
          <w:highlight w:val="none"/>
          <w:lang w:eastAsia="zh-CN"/>
        </w:rPr>
        <w:t>第四章</w:t>
      </w:r>
      <w:r>
        <w:rPr>
          <w:rFonts w:hint="eastAsia" w:ascii="宋体" w:hAnsi="宋体" w:cs="宋体"/>
          <w:highlight w:val="none"/>
          <w:lang w:val="en-US" w:eastAsia="zh-CN"/>
        </w:rPr>
        <w:t xml:space="preserve"> </w:t>
      </w:r>
      <w:r>
        <w:rPr>
          <w:rFonts w:hint="eastAsia" w:ascii="宋体" w:hAnsi="宋体" w:cs="宋体"/>
          <w:highlight w:val="none"/>
        </w:rPr>
        <w:t>采购需求</w:t>
      </w:r>
      <w:bookmarkEnd w:id="40"/>
    </w:p>
    <w:p>
      <w:pPr>
        <w:numPr>
          <w:ilvl w:val="0"/>
          <w:numId w:val="0"/>
        </w:numPr>
        <w:spacing w:line="360" w:lineRule="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一、采购内容</w:t>
      </w:r>
    </w:p>
    <w:p>
      <w:pPr>
        <w:numPr>
          <w:ilvl w:val="0"/>
          <w:numId w:val="0"/>
        </w:numPr>
        <w:spacing w:line="360" w:lineRule="auto"/>
        <w:ind w:firstLine="480" w:firstLineChars="200"/>
        <w:rPr>
          <w:rFonts w:hint="default" w:ascii="宋体" w:hAnsi="宋体" w:eastAsia="宋体" w:cs="宋体"/>
          <w:kern w:val="2"/>
          <w:sz w:val="24"/>
          <w:szCs w:val="24"/>
          <w:highlight w:val="none"/>
          <w:lang w:val="en-US" w:eastAsia="zh-CN" w:bidi="ar-SA"/>
        </w:rPr>
      </w:pPr>
      <w:r>
        <w:rPr>
          <w:rFonts w:hint="default" w:ascii="宋体" w:hAnsi="宋体" w:eastAsia="宋体" w:cs="宋体"/>
          <w:sz w:val="24"/>
          <w:szCs w:val="24"/>
          <w:highlight w:val="none"/>
          <w:lang w:val="en-US" w:eastAsia="zh-CN"/>
        </w:rPr>
        <w:t>为内蒙古自治区通信管理局提供电信市场和服务依法行政监管能力提升支撑，需全面掌握电信市场与电信服务管理各项政策法规要求，在信访、举报</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申诉</w:t>
      </w:r>
      <w:r>
        <w:rPr>
          <w:rFonts w:hint="eastAsia" w:ascii="宋体" w:hAnsi="宋体" w:cs="宋体"/>
          <w:sz w:val="24"/>
          <w:szCs w:val="24"/>
          <w:highlight w:val="none"/>
          <w:lang w:val="en-US" w:eastAsia="zh-CN"/>
        </w:rPr>
        <w:t>、行政复议、行政诉讼</w:t>
      </w:r>
      <w:r>
        <w:rPr>
          <w:rFonts w:hint="default" w:ascii="宋体" w:hAnsi="宋体" w:eastAsia="宋体" w:cs="宋体"/>
          <w:sz w:val="24"/>
          <w:szCs w:val="24"/>
          <w:highlight w:val="none"/>
          <w:lang w:val="en-US" w:eastAsia="zh-CN"/>
        </w:rPr>
        <w:t>等方面提供专业、可靠的法律服务支撑意见和</w:t>
      </w:r>
      <w:r>
        <w:rPr>
          <w:rFonts w:hint="eastAsia" w:ascii="宋体" w:hAnsi="宋体" w:cs="宋体"/>
          <w:sz w:val="24"/>
          <w:szCs w:val="24"/>
          <w:highlight w:val="none"/>
          <w:lang w:val="en-US" w:eastAsia="zh-CN"/>
        </w:rPr>
        <w:t>交流研讨</w:t>
      </w:r>
      <w:r>
        <w:rPr>
          <w:rFonts w:hint="default" w:ascii="宋体" w:hAnsi="宋体" w:eastAsia="宋体" w:cs="宋体"/>
          <w:sz w:val="24"/>
          <w:szCs w:val="24"/>
          <w:highlight w:val="none"/>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服务期限：自合同签订之日起12个月</w:t>
      </w:r>
      <w:r>
        <w:rPr>
          <w:rFonts w:hint="eastAsia" w:ascii="宋体" w:hAnsi="宋体" w:cs="宋体"/>
          <w:sz w:val="24"/>
          <w:szCs w:val="24"/>
          <w:highlight w:val="none"/>
          <w:lang w:val="en-US" w:eastAsia="zh-CN"/>
        </w:rPr>
        <w:t>。</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服务地点：呼和浩特市。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项目预算</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明确本项目的预算金额为</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万元，投标人的报价不得超过该预算。</w:t>
      </w:r>
    </w:p>
    <w:p>
      <w:pPr>
        <w:numPr>
          <w:ilvl w:val="0"/>
          <w:numId w:val="0"/>
        </w:numPr>
        <w:spacing w:line="360" w:lineRule="auto"/>
        <w:ind w:firstLine="481" w:firstLineChars="20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技术要求</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1.1出具案件咨询意见。支撑电信市场和服务相关的法律政策咨询，对相关违规行为以及重大疑难案件的行政处罚程序等提供法律咨询</w:t>
      </w:r>
      <w:r>
        <w:rPr>
          <w:rFonts w:hint="default" w:ascii="宋体" w:hAnsi="宋体" w:eastAsia="宋体" w:cs="宋体"/>
          <w:sz w:val="24"/>
          <w:szCs w:val="24"/>
          <w:highlight w:val="none"/>
          <w:lang w:val="en-US" w:eastAsia="zh-CN"/>
        </w:rPr>
        <w:t>，普通案件数量不超过60件，重大案件数量不超过20件。</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val="en-US" w:eastAsia="zh-CN"/>
        </w:rPr>
        <w:t>1.2提供交流研讨服务。一年提供不少于3次交流，每次安</w:t>
      </w:r>
      <w:r>
        <w:rPr>
          <w:rFonts w:hint="eastAsia" w:ascii="宋体" w:hAnsi="宋体" w:cs="宋体"/>
          <w:sz w:val="24"/>
          <w:szCs w:val="24"/>
          <w:lang w:val="en-US" w:eastAsia="zh-CN"/>
        </w:rPr>
        <w:t>排2-4个主题。</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保密要求</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测评机构应严格遵守保密协议，对过程中涉及的相关信息和数据进行严格保密，不得泄露给任何第三方。</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项目团队要求</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3.2供应商拥有为工业和信息化部有关通信行业司局或至少一地通信管理局支撑案件办理的经验。</w:t>
      </w:r>
    </w:p>
    <w:p>
      <w:pPr>
        <w:numPr>
          <w:ilvl w:val="0"/>
          <w:numId w:val="0"/>
        </w:numPr>
        <w:spacing w:line="360" w:lineRule="auto"/>
        <w:ind w:firstLine="480" w:firstLineChars="200"/>
        <w:rPr>
          <w:rFonts w:hint="eastAsia" w:ascii="宋体" w:hAnsi="宋体" w:eastAsia="宋体" w:cs="宋体"/>
          <w:color w:val="000000"/>
          <w:spacing w:val="-2"/>
          <w:sz w:val="24"/>
          <w:szCs w:val="24"/>
          <w:highlight w:val="none"/>
        </w:rPr>
      </w:pPr>
      <w:r>
        <w:rPr>
          <w:rFonts w:hint="eastAsia" w:ascii="宋体" w:hAnsi="宋体" w:cs="宋体"/>
          <w:sz w:val="24"/>
          <w:szCs w:val="24"/>
          <w:lang w:val="en-US" w:eastAsia="zh-CN"/>
        </w:rPr>
        <w:t>3.3供应商应当拥有至少五位通过国家统一法律职业资格考试取得法律职业资格、工作年限不少于五年的工作人员。</w:t>
      </w:r>
    </w:p>
    <w:p>
      <w:pPr>
        <w:pStyle w:val="5"/>
        <w:numPr>
          <w:ilvl w:val="0"/>
          <w:numId w:val="0"/>
        </w:numPr>
        <w:tabs>
          <w:tab w:val="left" w:pos="900"/>
        </w:tabs>
        <w:spacing w:before="0" w:after="0" w:line="480" w:lineRule="exact"/>
        <w:jc w:val="center"/>
        <w:rPr>
          <w:rFonts w:hint="eastAsia" w:ascii="宋体" w:hAnsi="宋体" w:cs="宋体"/>
          <w:b w:val="0"/>
          <w:kern w:val="44"/>
          <w:sz w:val="44"/>
        </w:rPr>
      </w:pPr>
      <w:bookmarkStart w:id="41" w:name="_Toc380479121"/>
      <w:r>
        <w:rPr>
          <w:rFonts w:hint="eastAsia" w:ascii="宋体" w:hAnsi="宋体" w:cs="宋体"/>
          <w:bCs w:val="0"/>
          <w:kern w:val="44"/>
          <w:sz w:val="44"/>
        </w:rPr>
        <w:t>第五章  合同条款</w:t>
      </w: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spacing w:line="480" w:lineRule="exact"/>
        <w:ind w:firstLine="560" w:firstLineChars="200"/>
        <w:jc w:val="center"/>
        <w:rPr>
          <w:rFonts w:hint="eastAsia" w:ascii="宋体" w:hAnsi="宋体" w:cs="宋体"/>
          <w:sz w:val="28"/>
        </w:rPr>
      </w:pPr>
      <w:r>
        <w:rPr>
          <w:rFonts w:hint="eastAsia" w:ascii="宋体" w:hAnsi="宋体" w:cs="宋体"/>
          <w:sz w:val="28"/>
        </w:rPr>
        <w:t>（本模板为合同样稿，正式稿由双方依据招投标文件制定）</w:t>
      </w:r>
    </w:p>
    <w:p>
      <w:pPr>
        <w:spacing w:line="480" w:lineRule="exact"/>
        <w:ind w:firstLine="573"/>
        <w:rPr>
          <w:rFonts w:hint="eastAsia" w:ascii="宋体" w:hAnsi="宋体" w:cs="宋体"/>
          <w:sz w:val="24"/>
        </w:rPr>
      </w:pPr>
    </w:p>
    <w:p>
      <w:pPr>
        <w:spacing w:line="520" w:lineRule="exact"/>
        <w:jc w:val="center"/>
        <w:rPr>
          <w:rFonts w:hint="eastAsia" w:ascii="宋体" w:hAnsi="宋体" w:cs="宋体"/>
          <w:sz w:val="30"/>
          <w:szCs w:val="30"/>
        </w:rPr>
      </w:pPr>
    </w:p>
    <w:p>
      <w:pPr>
        <w:spacing w:line="520" w:lineRule="exact"/>
        <w:ind w:firstLine="960" w:firstLineChars="200"/>
        <w:jc w:val="center"/>
        <w:rPr>
          <w:rFonts w:hint="eastAsia" w:ascii="宋体" w:hAnsi="宋体" w:cs="宋体"/>
          <w:sz w:val="48"/>
          <w:szCs w:val="48"/>
        </w:rPr>
      </w:pPr>
      <w:r>
        <w:rPr>
          <w:rFonts w:hint="eastAsia" w:ascii="宋体" w:hAnsi="宋体" w:cs="宋体"/>
          <w:sz w:val="48"/>
          <w:szCs w:val="48"/>
        </w:rPr>
        <w:t>政府采购合同</w:t>
      </w:r>
    </w:p>
    <w:p>
      <w:pPr>
        <w:spacing w:line="520" w:lineRule="exact"/>
        <w:jc w:val="center"/>
        <w:rPr>
          <w:rFonts w:hint="eastAsia" w:ascii="宋体" w:hAnsi="宋体" w:cs="宋体"/>
          <w:sz w:val="28"/>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rPr>
          <w:rFonts w:hint="eastAsia" w:ascii="宋体" w:hAnsi="宋体" w:cs="宋体"/>
          <w:sz w:val="28"/>
        </w:rPr>
      </w:pPr>
    </w:p>
    <w:p>
      <w:pPr>
        <w:pStyle w:val="2"/>
        <w:rPr>
          <w:rFonts w:hint="eastAsia"/>
        </w:rPr>
      </w:pPr>
    </w:p>
    <w:p>
      <w:pPr>
        <w:spacing w:line="520" w:lineRule="exact"/>
        <w:ind w:firstLine="640" w:firstLineChars="200"/>
        <w:jc w:val="both"/>
        <w:rPr>
          <w:rFonts w:hint="eastAsia" w:ascii="宋体" w:hAnsi="宋体" w:cs="宋体"/>
          <w:bCs/>
          <w:sz w:val="32"/>
          <w:szCs w:val="32"/>
          <w:u w:val="single"/>
        </w:rPr>
      </w:pPr>
      <w:r>
        <w:rPr>
          <w:rFonts w:hint="eastAsia" w:ascii="宋体" w:hAnsi="宋体" w:cs="宋体"/>
          <w:sz w:val="32"/>
          <w:szCs w:val="32"/>
        </w:rPr>
        <w:t>项目名称</w:t>
      </w:r>
      <w:r>
        <w:rPr>
          <w:rFonts w:hint="eastAsia" w:ascii="宋体" w:hAnsi="宋体" w:cs="宋体"/>
          <w:bCs/>
          <w:sz w:val="32"/>
          <w:szCs w:val="32"/>
        </w:rPr>
        <w:t>:</w:t>
      </w:r>
    </w:p>
    <w:p>
      <w:pPr>
        <w:spacing w:line="520" w:lineRule="exact"/>
        <w:ind w:firstLine="640" w:firstLineChars="200"/>
        <w:jc w:val="both"/>
        <w:rPr>
          <w:rFonts w:hint="eastAsia" w:ascii="宋体" w:hAnsi="宋体" w:cs="宋体"/>
          <w:sz w:val="32"/>
          <w:szCs w:val="32"/>
        </w:rPr>
      </w:pPr>
      <w:r>
        <w:rPr>
          <w:rFonts w:hint="eastAsia" w:ascii="宋体" w:hAnsi="宋体" w:cs="宋体"/>
          <w:bCs/>
          <w:sz w:val="32"/>
          <w:szCs w:val="32"/>
        </w:rPr>
        <w:t>批准文号：</w:t>
      </w:r>
    </w:p>
    <w:p>
      <w:pPr>
        <w:spacing w:line="520" w:lineRule="exact"/>
        <w:ind w:firstLine="640" w:firstLineChars="200"/>
        <w:jc w:val="both"/>
        <w:rPr>
          <w:rFonts w:hint="eastAsia" w:ascii="宋体" w:hAnsi="宋体" w:cs="宋体"/>
          <w:sz w:val="32"/>
          <w:szCs w:val="32"/>
        </w:rPr>
      </w:pPr>
      <w:r>
        <w:rPr>
          <w:rFonts w:hint="eastAsia" w:ascii="宋体" w:hAnsi="宋体" w:cs="宋体"/>
          <w:sz w:val="32"/>
          <w:szCs w:val="32"/>
        </w:rPr>
        <w:t>合同编号：（第包）</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买方： </w:t>
      </w:r>
      <w:r>
        <w:rPr>
          <w:rFonts w:hint="eastAsia" w:ascii="宋体" w:hAnsi="宋体" w:cs="宋体"/>
          <w:sz w:val="32"/>
          <w:szCs w:val="32"/>
          <w:u w:val="single"/>
        </w:rPr>
        <w:t>（采购单位名称）</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卖方： </w:t>
      </w:r>
      <w:r>
        <w:rPr>
          <w:rFonts w:hint="eastAsia" w:ascii="宋体" w:hAnsi="宋体" w:cs="宋体"/>
          <w:sz w:val="32"/>
          <w:szCs w:val="32"/>
          <w:u w:val="single"/>
        </w:rPr>
        <w:t>（供应商名称）</w:t>
      </w: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ind w:firstLine="642" w:firstLineChars="200"/>
        <w:rPr>
          <w:rFonts w:hint="eastAsia" w:ascii="宋体" w:hAnsi="宋体" w:cs="宋体"/>
          <w:bCs/>
          <w:sz w:val="32"/>
          <w:szCs w:val="32"/>
          <w:u w:val="single"/>
        </w:rPr>
      </w:pPr>
      <w:r>
        <w:rPr>
          <w:rFonts w:hint="eastAsia" w:ascii="宋体" w:hAnsi="宋体" w:cs="宋体"/>
          <w:b/>
          <w:bCs/>
          <w:sz w:val="32"/>
          <w:szCs w:val="32"/>
        </w:rPr>
        <w:t>签订地点：</w:t>
      </w:r>
    </w:p>
    <w:p>
      <w:pPr>
        <w:spacing w:line="520" w:lineRule="exact"/>
        <w:ind w:firstLine="642" w:firstLineChars="200"/>
        <w:rPr>
          <w:rFonts w:hint="eastAsia" w:ascii="宋体" w:hAnsi="宋体" w:cs="宋体"/>
          <w:sz w:val="32"/>
          <w:szCs w:val="32"/>
        </w:rPr>
      </w:pPr>
      <w:r>
        <w:rPr>
          <w:rFonts w:hint="eastAsia" w:ascii="宋体" w:hAnsi="宋体" w:cs="宋体"/>
          <w:b/>
          <w:bCs/>
          <w:sz w:val="32"/>
          <w:szCs w:val="32"/>
        </w:rPr>
        <w:t>签订日期：</w:t>
      </w:r>
      <w:r>
        <w:rPr>
          <w:rFonts w:hint="eastAsia" w:ascii="宋体" w:hAnsi="宋体" w:cs="宋体"/>
          <w:b/>
          <w:bCs/>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p>
    <w:p>
      <w:pPr>
        <w:spacing w:line="520" w:lineRule="exact"/>
        <w:ind w:firstLine="944" w:firstLineChars="295"/>
        <w:rPr>
          <w:rFonts w:hint="eastAsia" w:ascii="宋体" w:hAnsi="宋体" w:cs="宋体"/>
          <w:sz w:val="32"/>
          <w:szCs w:val="32"/>
        </w:rPr>
      </w:pPr>
    </w:p>
    <w:p>
      <w:pPr>
        <w:spacing w:line="520" w:lineRule="exact"/>
        <w:ind w:firstLine="944" w:firstLineChars="295"/>
        <w:rPr>
          <w:rFonts w:hint="eastAsia" w:ascii="宋体" w:hAnsi="宋体" w:cs="宋体"/>
          <w:sz w:val="32"/>
          <w:szCs w:val="32"/>
        </w:rPr>
      </w:pPr>
    </w:p>
    <w:p>
      <w:pPr>
        <w:spacing w:line="520" w:lineRule="exact"/>
        <w:ind w:firstLine="480" w:firstLineChars="200"/>
        <w:rPr>
          <w:rFonts w:ascii="宋体" w:hAnsi="宋体" w:cs="宋体"/>
          <w:sz w:val="24"/>
          <w:szCs w:val="24"/>
        </w:rPr>
      </w:pPr>
      <w:r>
        <w:rPr>
          <w:rFonts w:ascii="宋体" w:hAnsi="宋体" w:cs="宋体"/>
          <w:sz w:val="24"/>
          <w:szCs w:val="24"/>
        </w:rPr>
        <w:t>甲方：***（填写采购单位名称） 地址：***（填写详细地址）</w:t>
      </w:r>
    </w:p>
    <w:p>
      <w:pPr>
        <w:spacing w:line="520" w:lineRule="exact"/>
        <w:ind w:firstLine="480" w:firstLineChars="200"/>
        <w:rPr>
          <w:rFonts w:ascii="宋体" w:hAnsi="宋体" w:cs="宋体"/>
          <w:sz w:val="24"/>
          <w:szCs w:val="24"/>
        </w:rPr>
      </w:pPr>
      <w:r>
        <w:rPr>
          <w:rFonts w:ascii="宋体" w:hAnsi="宋体" w:cs="宋体"/>
          <w:sz w:val="24"/>
          <w:szCs w:val="24"/>
        </w:rPr>
        <w:t xml:space="preserve">乙方：***（填写中标、成交供应商名称 地址：***（填写详细地址） </w:t>
      </w:r>
    </w:p>
    <w:p>
      <w:pPr>
        <w:spacing w:line="520" w:lineRule="exact"/>
        <w:ind w:firstLine="480" w:firstLineChars="200"/>
        <w:rPr>
          <w:rFonts w:ascii="宋体" w:hAnsi="宋体" w:cs="宋体"/>
          <w:sz w:val="24"/>
          <w:szCs w:val="24"/>
        </w:rPr>
      </w:pPr>
      <w:r>
        <w:rPr>
          <w:rFonts w:ascii="宋体" w:hAnsi="宋体" w:cs="宋体"/>
          <w:sz w:val="24"/>
          <w:szCs w:val="24"/>
        </w:rPr>
        <w:t xml:space="preserve">甲乙双方根据《中华人民共和国政府采购法》《中华人民共和国政府采购法实施条例》《中华人民共和国民法典》等相关 法律法规、规范性文件以及__________项目（填写项目名称）__________（填写政府采购项目编号）的中标（成交）结果、招 标（磋商、谈判）文件、投标（响应）文件等文件的相关内容，经平等自愿协商一致，就如下合同条款达成一致意见。 </w:t>
      </w:r>
    </w:p>
    <w:p>
      <w:pPr>
        <w:numPr>
          <w:ilvl w:val="0"/>
          <w:numId w:val="4"/>
        </w:numPr>
        <w:spacing w:line="520" w:lineRule="exact"/>
        <w:ind w:firstLine="480" w:firstLineChars="200"/>
        <w:rPr>
          <w:rFonts w:ascii="宋体" w:hAnsi="宋体" w:cs="宋体"/>
          <w:sz w:val="24"/>
          <w:szCs w:val="24"/>
        </w:rPr>
      </w:pPr>
      <w:r>
        <w:rPr>
          <w:rFonts w:ascii="宋体" w:hAnsi="宋体" w:cs="宋体"/>
          <w:sz w:val="24"/>
          <w:szCs w:val="24"/>
        </w:rPr>
        <w:t>乙方向甲方提供的服务内容</w:t>
      </w:r>
    </w:p>
    <w:p>
      <w:pPr>
        <w:numPr>
          <w:ilvl w:val="0"/>
          <w:numId w:val="5"/>
        </w:numPr>
        <w:spacing w:line="360" w:lineRule="auto"/>
        <w:ind w:left="119" w:firstLine="480" w:firstLineChars="200"/>
        <w:rPr>
          <w:rFonts w:ascii="宋体" w:hAnsi="宋体" w:cs="宋体"/>
          <w:sz w:val="24"/>
          <w:szCs w:val="24"/>
        </w:rPr>
      </w:pPr>
      <w:r>
        <w:rPr>
          <w:rFonts w:ascii="宋体" w:hAnsi="宋体" w:cs="宋体"/>
          <w:sz w:val="24"/>
          <w:szCs w:val="24"/>
        </w:rPr>
        <w:t xml:space="preserve">根据招标（磋商、谈判）文件及中标（成交）结果公告，乙方向甲方提供的服务、货物（如有）内容如下： __________________________________________________。 </w:t>
      </w:r>
      <w:r>
        <w:rPr>
          <w:rFonts w:hint="eastAsia" w:ascii="宋体" w:hAnsi="宋体" w:cs="宋体"/>
          <w:sz w:val="24"/>
          <w:szCs w:val="24"/>
        </w:rPr>
        <w:t xml:space="preserve">   </w:t>
      </w:r>
      <w:r>
        <w:rPr>
          <w:rFonts w:ascii="宋体" w:hAnsi="宋体" w:cs="宋体"/>
          <w:sz w:val="24"/>
          <w:szCs w:val="24"/>
        </w:rPr>
        <w:t>（二）服务项目名称、服务具体内容、服务方式、服务要求、服务成果及与之相关的货物等详细内容，见合同附件—服务 清单。</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乙方服务成果的交付时间、地点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服务期限：_____________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服务成果的交付时间和交付要求（如有）：_____________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服务地点：_____________（填写详细地址）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乙方代表及联系电话：_____________（填写姓名和联系电话）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甲方代表及联系电话：_____________（填写姓名和联系电话）</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注：服务成果分阶段交付的，应分别列明各阶段的交付时间、交付内容。</w:t>
      </w:r>
    </w:p>
    <w:p>
      <w:pPr>
        <w:pStyle w:val="22"/>
        <w:numPr>
          <w:ilvl w:val="0"/>
          <w:numId w:val="4"/>
        </w:numPr>
        <w:spacing w:line="360" w:lineRule="auto"/>
        <w:ind w:firstLine="480" w:firstLineChars="200"/>
        <w:rPr>
          <w:rFonts w:hint="eastAsia" w:ascii="宋体" w:hAnsi="宋体" w:cs="宋体"/>
          <w:sz w:val="24"/>
          <w:szCs w:val="24"/>
        </w:rPr>
      </w:pPr>
      <w:r>
        <w:rPr>
          <w:rFonts w:ascii="宋体" w:hAnsi="宋体" w:cs="宋体"/>
          <w:sz w:val="24"/>
          <w:szCs w:val="24"/>
        </w:rPr>
        <w:t xml:space="preserve">乙方提供服务成果的质量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乙方提供的服务应同时满足：1.符合国家法律法规和规范性文件对服务质量的要求；2.符合甲方招标（磋商、谈 判）文件对服务的质量要求；3.符合乙方在投标（响应）文件中或磋商、谈判过程中对服务质量作出的书面承诺、声明或保 证。上述质量要求作为甲方对乙方服务质量的验收依据。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乙方应根据国家法律法规和规范性文件的规定、招标（磋商、谈判）文件的相关要求、投标（响应）文件及乙方承 诺、声明或保证，向甲方提供相应的服务质量证明文件。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乙方服务成果的交付方式及载体 乙方交付服务成果方式及载体应符合国家法律法规和规范性文件的要求，并符合甲方招标（磋商、谈判）文件的要求、乙方在投标（响应）文件中对服务成果交付方式及载体作出的承诺。</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甲方对乙方服务的监督 甲方对乙方提供的服务有权进行监督，当乙方服务质量、服务内容不符合约定时，甲方有权要求乙方及时进行整改，对乙方拒不改正或整改不到位的，甲方有权随时解除合同，并根据具体情况扣除部分或全部服务费用。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合同金额 在乙方提供完全符合合同要求的服务的前提下，本合同总金额为__________元（小写）__________（大写）。</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付款时间及条件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付款时间：__________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付款条件：__________</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乙方账户信息</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乙方名称：__________ 开户银行：__________ 银行账号：__________</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知识产权 乙方应保证其提供的服务及服务成果的全部及部分，均不存在侵犯第三方知识产权的情形，其服务成果的所有权由甲方享 有。否则，乙方应向甲方承担违约责任及赔偿由此给甲方造成的名誉及经济损失。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违约条款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甲方没有正当理由逾期支付合同款项的，每延期一日，甲方应按照逾期支付金额__________的__________承担违约 责任。延期达到__________日，乙方有权解除合同，并要求甲方赔偿由此造成的经济损失。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甲方存在其他违反本合同的行为，应承担相应的违约责任（注：可以根据情况进行细化）；违约金不足以赔偿乙方 损失的，乙方有权要求甲方赔偿由此造成的经济损失。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乙方逾期提供服务成果的，每延期一日，乙方应按照合同总金额的__________承担违约责任。延期达到__________ 日，甲方有权解除合同，拒付延期部分的相应服务款项，并要求乙方赔偿甲方的经济损失。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乙方交付的服务不符合质量要求，或其服务成果存在侵权行为的，甲方有权解除合同，并要求乙方支付合同总金额 __________%的违约金，违约金不足以赔偿甲方损失的，甲方有权要求乙方赔偿经济损失。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乙方在参与本项目采购活动过程中，如存在提供虚假承诺、证明、串通投标等违法违规行为，除承担相应的行政责 任外，甲方有权解除合同，并要求乙方承担合同总金额__________%的违约金，违约金不足以赔偿甲方损失的，甲方有权要求 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乙方存在其他违反本合同的行为，应承担相应的违约责任（注：可以根据情况进行细化）；违约金不足以赔偿甲方 损失的，甲方有权要求乙方赔偿经济损失。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不可抗力 因不可抗力致使一方不能及时或完全履行合同的，应及时通知另一方，双方互不承担责任，并在__________天内提供有关 不可抗力的相关证明。合同未履行部分是否继续履行、如何履行等问题，由双方协商解决。</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争议的解决方式 合同发生纠纷时，双方应协商解决，协商不成，可以采用下列方式 解决：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 xml:space="preserve">提交__________仲裁委员会仲裁。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向__________人民法院起诉。</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合同保存 合同文本一式____份，采购单位、中标（成交）供应商、采购代理机构、__________各执一份。合同文本保存期限为从采 购结束之日起至少保存十五年。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合同附件 本合同所附下列文件是构成本合同不可分割的部分，与本合同具有同等法律效力：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服务清单（双方应盖章确认）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乙方出具的报价单（函）</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中标（成交）结果公告及中标（成交）通知书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甲方招标（磋商、谈判）文件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乙方投标（响应）文件</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甲乙双方商定的其他文件 </w:t>
      </w:r>
    </w:p>
    <w:p>
      <w:pPr>
        <w:pStyle w:val="22"/>
        <w:numPr>
          <w:ilvl w:val="0"/>
          <w:numId w:val="4"/>
        </w:numPr>
        <w:spacing w:line="360" w:lineRule="auto"/>
        <w:ind w:firstLine="480" w:firstLineChars="200"/>
        <w:rPr>
          <w:rFonts w:hint="eastAsia" w:ascii="宋体" w:hAnsi="宋体" w:cs="宋体"/>
          <w:sz w:val="24"/>
          <w:szCs w:val="24"/>
          <w:u w:val="single"/>
        </w:rPr>
      </w:pPr>
      <w:r>
        <w:rPr>
          <w:rFonts w:ascii="宋体" w:hAnsi="宋体" w:cs="宋体"/>
          <w:sz w:val="24"/>
          <w:szCs w:val="24"/>
        </w:rPr>
        <w:t>双方约定的其他事宜</w:t>
      </w:r>
      <w:r>
        <w:rPr>
          <w:rFonts w:hint="eastAsia" w:ascii="宋体" w:hAnsi="宋体" w:cs="宋体"/>
          <w:sz w:val="24"/>
          <w:szCs w:val="24"/>
          <w:u w:val="single"/>
        </w:rPr>
        <w:t xml:space="preserve">                                    </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u w:val="single"/>
        </w:rPr>
        <w:t>合同未尽事宜，双方另行签订补充协议，补充协议是合同的组成部分。</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rPr>
        <w:t>本合同由甲乙双方盖章生效。</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甲方名称：（章） </w:t>
      </w:r>
      <w:r>
        <w:rPr>
          <w:rFonts w:hint="eastAsia" w:ascii="宋体" w:hAnsi="宋体" w:cs="宋体"/>
          <w:sz w:val="24"/>
          <w:szCs w:val="24"/>
        </w:rPr>
        <w:t xml:space="preserve">                          </w:t>
      </w:r>
      <w:r>
        <w:rPr>
          <w:rFonts w:ascii="宋体" w:hAnsi="宋体" w:cs="宋体"/>
          <w:sz w:val="24"/>
          <w:szCs w:val="24"/>
        </w:rPr>
        <w:t xml:space="preserve">乙方名称：（章）  </w:t>
      </w:r>
    </w:p>
    <w:p>
      <w:pPr>
        <w:pStyle w:val="22"/>
        <w:spacing w:line="360" w:lineRule="auto"/>
        <w:ind w:firstLine="480" w:firstLineChars="200"/>
        <w:rPr>
          <w:rFonts w:ascii="宋体" w:hAnsi="宋体" w:cs="宋体"/>
          <w:sz w:val="24"/>
          <w:szCs w:val="24"/>
        </w:rPr>
      </w:pPr>
      <w:r>
        <w:rPr>
          <w:rFonts w:ascii="宋体" w:hAnsi="宋体" w:cs="宋体"/>
          <w:sz w:val="24"/>
          <w:szCs w:val="24"/>
        </w:rPr>
        <w:t>甲方法定代表人或负责人：（签字）</w:t>
      </w:r>
      <w:r>
        <w:rPr>
          <w:rFonts w:hint="eastAsia" w:ascii="宋体" w:hAnsi="宋体" w:cs="宋体"/>
          <w:sz w:val="24"/>
          <w:szCs w:val="24"/>
        </w:rPr>
        <w:t xml:space="preserve">           </w:t>
      </w:r>
      <w:r>
        <w:rPr>
          <w:rFonts w:ascii="宋体" w:hAnsi="宋体" w:cs="宋体"/>
          <w:sz w:val="24"/>
          <w:szCs w:val="24"/>
        </w:rPr>
        <w:t>乙方法定代表人或负责人：（签字）</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年 月 日</w:t>
      </w:r>
      <w:r>
        <w:rPr>
          <w:rFonts w:hint="eastAsia" w:ascii="宋体" w:hAnsi="宋体" w:cs="宋体"/>
          <w:sz w:val="24"/>
          <w:szCs w:val="24"/>
        </w:rPr>
        <w:t xml:space="preserve">                                    </w:t>
      </w:r>
      <w:r>
        <w:rPr>
          <w:rFonts w:ascii="宋体" w:hAnsi="宋体" w:cs="宋体"/>
          <w:sz w:val="24"/>
          <w:szCs w:val="24"/>
        </w:rPr>
        <w:t>年 月 日</w:t>
      </w:r>
    </w:p>
    <w:bookmarkEnd w:id="41"/>
    <w:p>
      <w:pPr>
        <w:pStyle w:val="5"/>
        <w:numPr>
          <w:ilvl w:val="0"/>
          <w:numId w:val="0"/>
        </w:numPr>
        <w:tabs>
          <w:tab w:val="left" w:pos="900"/>
        </w:tabs>
        <w:spacing w:before="0" w:after="0" w:line="480" w:lineRule="exact"/>
        <w:ind w:firstLine="883" w:firstLineChars="200"/>
        <w:jc w:val="center"/>
        <w:rPr>
          <w:rFonts w:hint="eastAsia" w:ascii="宋体" w:hAnsi="宋体" w:cs="宋体"/>
          <w:bCs w:val="0"/>
          <w:kern w:val="44"/>
          <w:sz w:val="44"/>
        </w:rPr>
      </w:pPr>
      <w:bookmarkStart w:id="42" w:name="_Toc380479151"/>
      <w:r>
        <w:rPr>
          <w:rFonts w:hint="eastAsia" w:ascii="宋体" w:hAnsi="宋体" w:cs="宋体"/>
          <w:bCs w:val="0"/>
          <w:kern w:val="44"/>
          <w:sz w:val="44"/>
        </w:rPr>
        <w:t>第六章</w:t>
      </w:r>
      <w:r>
        <w:rPr>
          <w:rFonts w:hint="eastAsia" w:ascii="宋体" w:hAnsi="宋体" w:cs="宋体"/>
          <w:bCs w:val="0"/>
        </w:rPr>
        <w:t xml:space="preserve">  </w:t>
      </w:r>
      <w:bookmarkEnd w:id="42"/>
      <w:r>
        <w:rPr>
          <w:rFonts w:hint="eastAsia" w:ascii="宋体" w:hAnsi="宋体" w:cs="宋体"/>
          <w:bCs w:val="0"/>
          <w:kern w:val="44"/>
          <w:sz w:val="44"/>
        </w:rPr>
        <w:t>磋商响应文件格式</w:t>
      </w:r>
    </w:p>
    <w:p>
      <w:pPr>
        <w:spacing w:line="480" w:lineRule="exact"/>
        <w:rPr>
          <w:rFonts w:hint="eastAsia" w:ascii="宋体" w:hAnsi="宋体" w:cs="宋体"/>
          <w:b/>
          <w:bCs/>
          <w:sz w:val="28"/>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pacing w:before="100" w:beforeAutospacing="1" w:after="100" w:afterAutospacing="1" w:line="360" w:lineRule="auto"/>
        <w:jc w:val="center"/>
        <w:rPr>
          <w:rFonts w:hint="eastAsia" w:ascii="宋体" w:hAnsi="宋体" w:cs="宋体"/>
          <w:b/>
          <w:sz w:val="48"/>
          <w:szCs w:val="48"/>
        </w:rPr>
      </w:pPr>
      <w:r>
        <w:rPr>
          <w:rFonts w:hint="eastAsia" w:ascii="宋体" w:hAnsi="宋体" w:cs="宋体"/>
          <w:b/>
          <w:sz w:val="48"/>
          <w:szCs w:val="48"/>
        </w:rPr>
        <w:fldChar w:fldCharType="begin"/>
      </w:r>
      <w:r>
        <w:rPr>
          <w:rFonts w:hint="eastAsia" w:ascii="宋体" w:hAnsi="宋体" w:cs="宋体"/>
          <w:b/>
          <w:sz w:val="48"/>
          <w:szCs w:val="48"/>
        </w:rPr>
        <w:instrText xml:space="preserve"> HYPERLINK "http://zzgj.365trade.com.cn:8000/xm/gzxmgl/wdgzxm/listgzxmxx:showevent/202107020929350439179234066?gnid=ff80808154fb5f8a0154fb6d1e48001b&amp;isLc=false" </w:instrText>
      </w:r>
      <w:r>
        <w:rPr>
          <w:rFonts w:hint="eastAsia" w:ascii="宋体" w:hAnsi="宋体" w:cs="宋体"/>
          <w:b/>
          <w:sz w:val="48"/>
          <w:szCs w:val="48"/>
        </w:rPr>
        <w:fldChar w:fldCharType="separate"/>
      </w:r>
      <w:r>
        <w:rPr>
          <w:rFonts w:hint="eastAsia" w:ascii="宋体" w:hAnsi="宋体" w:cs="宋体"/>
          <w:b/>
          <w:sz w:val="48"/>
          <w:szCs w:val="48"/>
          <w:lang w:val="en-US" w:eastAsia="zh-CN"/>
        </w:rPr>
        <w:t xml:space="preserve">电信市场和服务依法行政监管能力提升支撑 </w:t>
      </w:r>
      <w:r>
        <w:rPr>
          <w:rFonts w:hint="eastAsia" w:ascii="宋体" w:hAnsi="宋体" w:cs="宋体"/>
          <w:b/>
          <w:sz w:val="48"/>
          <w:szCs w:val="48"/>
        </w:rPr>
        <w:fldChar w:fldCharType="end"/>
      </w:r>
    </w:p>
    <w:p>
      <w:pPr>
        <w:pStyle w:val="4"/>
        <w:numPr>
          <w:ilvl w:val="0"/>
          <w:numId w:val="0"/>
        </w:numPr>
        <w:rPr>
          <w:rFonts w:hint="eastAsia" w:ascii="宋体" w:hAnsi="宋体" w:cs="宋体"/>
        </w:rPr>
      </w:pPr>
    </w:p>
    <w:p>
      <w:pPr>
        <w:spacing w:line="360" w:lineRule="auto"/>
        <w:jc w:val="center"/>
        <w:rPr>
          <w:rFonts w:hint="eastAsia" w:ascii="宋体" w:hAnsi="宋体" w:cs="宋体"/>
          <w:b/>
          <w:sz w:val="52"/>
        </w:rPr>
      </w:pPr>
    </w:p>
    <w:p>
      <w:pPr>
        <w:spacing w:line="360" w:lineRule="auto"/>
        <w:jc w:val="center"/>
        <w:rPr>
          <w:rFonts w:hint="eastAsia" w:ascii="宋体" w:hAnsi="宋体" w:cs="宋体"/>
          <w:b/>
          <w:kern w:val="0"/>
          <w:sz w:val="44"/>
          <w:szCs w:val="48"/>
        </w:rPr>
      </w:pPr>
      <w:r>
        <w:rPr>
          <w:rFonts w:hint="eastAsia" w:ascii="宋体" w:hAnsi="宋体" w:cs="宋体"/>
          <w:b/>
          <w:sz w:val="48"/>
        </w:rPr>
        <w:t>正本/副本</w:t>
      </w:r>
    </w:p>
    <w:p>
      <w:pPr>
        <w:spacing w:line="360" w:lineRule="auto"/>
        <w:jc w:val="center"/>
        <w:rPr>
          <w:rFonts w:hint="eastAsia" w:ascii="宋体" w:hAnsi="宋体" w:cs="宋体"/>
          <w:b/>
          <w:sz w:val="84"/>
          <w:szCs w:val="84"/>
        </w:rPr>
      </w:pPr>
      <w:r>
        <w:rPr>
          <w:rFonts w:hint="eastAsia" w:ascii="宋体" w:hAnsi="宋体" w:cs="宋体"/>
          <w:b/>
          <w:sz w:val="72"/>
          <w:szCs w:val="84"/>
        </w:rPr>
        <w:t>响应文件</w:t>
      </w:r>
    </w:p>
    <w:p>
      <w:pPr>
        <w:spacing w:line="360" w:lineRule="auto"/>
        <w:rPr>
          <w:rFonts w:hint="eastAsia" w:ascii="宋体" w:hAnsi="宋体" w:cs="宋体"/>
          <w:sz w:val="28"/>
        </w:rPr>
      </w:pPr>
    </w:p>
    <w:p>
      <w:pPr>
        <w:spacing w:line="360" w:lineRule="auto"/>
        <w:ind w:firstLine="1606" w:firstLineChars="500"/>
        <w:rPr>
          <w:rFonts w:hint="eastAsia" w:ascii="宋体" w:hAnsi="宋体" w:cs="宋体"/>
          <w:b/>
          <w:sz w:val="32"/>
          <w:szCs w:val="32"/>
        </w:rPr>
      </w:pPr>
    </w:p>
    <w:p>
      <w:pPr>
        <w:pStyle w:val="2"/>
        <w:rPr>
          <w:rFonts w:hint="eastAsia"/>
        </w:rPr>
      </w:pPr>
    </w:p>
    <w:p>
      <w:pPr>
        <w:pStyle w:val="4"/>
        <w:numPr>
          <w:ilvl w:val="0"/>
          <w:numId w:val="0"/>
        </w:numPr>
        <w:rPr>
          <w:rFonts w:hint="eastAsia" w:ascii="宋体" w:hAnsi="宋体" w:cs="宋体"/>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w:t>
      </w:r>
      <w:r>
        <w:rPr>
          <w:rFonts w:hint="eastAsia" w:ascii="宋体" w:hAnsi="宋体" w:cs="宋体"/>
          <w:sz w:val="24"/>
          <w:szCs w:val="28"/>
          <w:u w:val="single"/>
        </w:rPr>
        <w:t>（加盖公章）</w:t>
      </w: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法定代表人：</w:t>
      </w:r>
      <w:r>
        <w:rPr>
          <w:rFonts w:hint="eastAsia" w:ascii="宋体" w:hAnsi="宋体" w:cs="宋体"/>
          <w:sz w:val="24"/>
          <w:szCs w:val="28"/>
          <w:u w:val="single"/>
        </w:rPr>
        <w:t>（签字或盖章）</w:t>
      </w:r>
      <w:r>
        <w:rPr>
          <w:rFonts w:hint="eastAsia" w:ascii="宋体" w:hAnsi="宋体" w:cs="宋体"/>
          <w:sz w:val="24"/>
          <w:szCs w:val="28"/>
        </w:rPr>
        <w:t>代理人：</w:t>
      </w:r>
      <w:r>
        <w:rPr>
          <w:rFonts w:hint="eastAsia" w:ascii="宋体" w:hAnsi="宋体" w:cs="宋体"/>
          <w:sz w:val="24"/>
          <w:szCs w:val="28"/>
          <w:u w:val="single"/>
        </w:rPr>
        <w:t>（签字或盖章）</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投标人地址：</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联系电话：</w:t>
      </w:r>
    </w:p>
    <w:p>
      <w:pPr>
        <w:spacing w:line="360" w:lineRule="auto"/>
        <w:ind w:firstLine="480" w:firstLineChars="200"/>
        <w:rPr>
          <w:rFonts w:hint="eastAsia" w:ascii="宋体" w:hAnsi="宋体" w:cs="宋体"/>
          <w:sz w:val="28"/>
          <w:szCs w:val="28"/>
        </w:rPr>
      </w:pPr>
      <w:r>
        <w:rPr>
          <w:rFonts w:hint="eastAsia" w:ascii="宋体" w:hAnsi="宋体" w:cs="宋体"/>
          <w:sz w:val="24"/>
          <w:szCs w:val="28"/>
        </w:rPr>
        <w:t>日期：</w:t>
      </w:r>
      <w:r>
        <w:rPr>
          <w:rFonts w:hint="eastAsia" w:ascii="宋体" w:hAnsi="宋体" w:cs="宋体"/>
          <w:sz w:val="24"/>
          <w:szCs w:val="28"/>
          <w:lang w:val="en-US" w:eastAsia="zh-CN"/>
        </w:rPr>
        <w:t xml:space="preserve">    </w:t>
      </w:r>
      <w:r>
        <w:rPr>
          <w:rFonts w:hint="eastAsia" w:ascii="宋体" w:hAnsi="宋体" w:cs="宋体"/>
          <w:sz w:val="24"/>
          <w:szCs w:val="28"/>
        </w:rPr>
        <w:t>年</w:t>
      </w:r>
      <w:r>
        <w:rPr>
          <w:rFonts w:hint="eastAsia" w:ascii="宋体" w:hAnsi="宋体" w:cs="宋体"/>
          <w:sz w:val="24"/>
          <w:szCs w:val="28"/>
          <w:lang w:val="en-US" w:eastAsia="zh-CN"/>
        </w:rPr>
        <w:t xml:space="preserve">    </w:t>
      </w:r>
      <w:r>
        <w:rPr>
          <w:rFonts w:hint="eastAsia" w:ascii="宋体" w:hAnsi="宋体" w:cs="宋体"/>
          <w:sz w:val="24"/>
          <w:szCs w:val="28"/>
        </w:rPr>
        <w:t>月</w:t>
      </w:r>
      <w:r>
        <w:rPr>
          <w:rFonts w:hint="eastAsia" w:ascii="宋体" w:hAnsi="宋体" w:cs="宋体"/>
          <w:sz w:val="24"/>
          <w:szCs w:val="28"/>
          <w:lang w:val="en-US" w:eastAsia="zh-CN"/>
        </w:rPr>
        <w:t xml:space="preserve">    </w:t>
      </w:r>
      <w:r>
        <w:rPr>
          <w:rFonts w:hint="eastAsia" w:ascii="宋体" w:hAnsi="宋体" w:cs="宋体"/>
          <w:sz w:val="24"/>
          <w:szCs w:val="28"/>
        </w:rPr>
        <w:t>日</w:t>
      </w:r>
    </w:p>
    <w:p>
      <w:pPr>
        <w:ind w:firstLine="722" w:firstLineChars="200"/>
        <w:jc w:val="center"/>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响应文件目录</w:t>
      </w:r>
    </w:p>
    <w:p>
      <w:pPr>
        <w:spacing w:line="360" w:lineRule="auto"/>
        <w:rPr>
          <w:rFonts w:hint="eastAsia" w:ascii="宋体" w:hAnsi="宋体" w:cs="宋体"/>
          <w:sz w:val="28"/>
          <w:szCs w:val="28"/>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一、报价函………………………………………………………………（）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二、</w:t>
      </w:r>
      <w:r>
        <w:rPr>
          <w:rFonts w:hint="eastAsia" w:ascii="宋体" w:hAnsi="宋体" w:cs="宋体"/>
          <w:spacing w:val="2"/>
          <w:position w:val="-3"/>
          <w:sz w:val="28"/>
          <w:szCs w:val="28"/>
        </w:rPr>
        <w:t>法</w:t>
      </w:r>
      <w:r>
        <w:rPr>
          <w:rFonts w:hint="eastAsia" w:ascii="宋体" w:hAnsi="宋体" w:cs="宋体"/>
          <w:position w:val="-3"/>
          <w:sz w:val="28"/>
          <w:szCs w:val="28"/>
        </w:rPr>
        <w:t>定代表人授权委</w:t>
      </w:r>
      <w:r>
        <w:rPr>
          <w:rFonts w:hint="eastAsia" w:ascii="宋体" w:hAnsi="宋体" w:cs="宋体"/>
          <w:spacing w:val="2"/>
          <w:position w:val="-3"/>
          <w:sz w:val="28"/>
          <w:szCs w:val="28"/>
        </w:rPr>
        <w:t>托</w:t>
      </w:r>
      <w:r>
        <w:rPr>
          <w:rFonts w:hint="eastAsia" w:ascii="宋体" w:hAnsi="宋体" w:cs="宋体"/>
          <w:position w:val="-3"/>
          <w:sz w:val="28"/>
          <w:szCs w:val="28"/>
        </w:rPr>
        <w:t>书</w:t>
      </w:r>
      <w:r>
        <w:rPr>
          <w:rFonts w:hint="eastAsia" w:ascii="宋体" w:hAnsi="宋体" w:cs="宋体"/>
          <w:sz w:val="28"/>
          <w:szCs w:val="28"/>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三、响应首轮报价表……………………………………………………（）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四、分项报价明细表……………………………………………………（）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五、商务条款应答表……………………………………………………（）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六、技术</w:t>
      </w:r>
      <w:r>
        <w:rPr>
          <w:rFonts w:hint="eastAsia" w:ascii="宋体" w:hAnsi="宋体" w:cs="宋体"/>
          <w:sz w:val="28"/>
          <w:szCs w:val="28"/>
          <w:lang w:val="en-US" w:eastAsia="zh-CN"/>
        </w:rPr>
        <w:t>服务</w:t>
      </w:r>
      <w:r>
        <w:rPr>
          <w:rFonts w:hint="eastAsia" w:ascii="宋体" w:hAnsi="宋体" w:cs="宋体"/>
          <w:sz w:val="28"/>
          <w:szCs w:val="28"/>
        </w:rPr>
        <w:t>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七、资格证明文件………………………………………………………（）</w:t>
      </w:r>
    </w:p>
    <w:p>
      <w:pPr>
        <w:spacing w:line="360" w:lineRule="auto"/>
        <w:ind w:firstLine="560" w:firstLineChars="200"/>
        <w:rPr>
          <w:rFonts w:hint="eastAsia" w:ascii="宋体" w:hAnsi="宋体" w:cs="宋体"/>
          <w:sz w:val="28"/>
        </w:rPr>
      </w:pPr>
      <w:bookmarkStart w:id="43" w:name="_Toc381629564"/>
      <w:bookmarkStart w:id="44" w:name="_Toc373089581"/>
      <w:bookmarkStart w:id="45" w:name="_Toc9873"/>
      <w:r>
        <w:rPr>
          <w:rFonts w:hint="eastAsia" w:ascii="宋体" w:hAnsi="宋体" w:cs="宋体"/>
          <w:sz w:val="28"/>
          <w:szCs w:val="28"/>
        </w:rPr>
        <w:t>八、</w:t>
      </w:r>
      <w:bookmarkEnd w:id="43"/>
      <w:bookmarkEnd w:id="44"/>
      <w:bookmarkEnd w:id="45"/>
      <w:r>
        <w:rPr>
          <w:rFonts w:hint="eastAsia" w:ascii="宋体" w:hAnsi="宋体" w:cs="宋体"/>
          <w:bCs/>
          <w:spacing w:val="-6"/>
          <w:sz w:val="28"/>
        </w:rPr>
        <w:t>其他内容</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360" w:lineRule="auto"/>
        <w:ind w:firstLine="560" w:firstLineChars="200"/>
        <w:rPr>
          <w:rFonts w:hint="eastAsia" w:ascii="宋体" w:hAnsi="宋体" w:cs="宋体"/>
          <w:sz w:val="28"/>
        </w:rPr>
      </w:pPr>
      <w:r>
        <w:rPr>
          <w:rFonts w:hint="eastAsia" w:ascii="宋体" w:hAnsi="宋体" w:cs="宋体"/>
          <w:bCs/>
          <w:sz w:val="28"/>
          <w:szCs w:val="28"/>
          <w:lang w:eastAsia="zh-CN"/>
        </w:rPr>
        <w:t>九</w:t>
      </w:r>
      <w:r>
        <w:rPr>
          <w:rFonts w:hint="eastAsia" w:ascii="宋体" w:hAnsi="宋体" w:cs="宋体"/>
          <w:bCs/>
          <w:sz w:val="28"/>
          <w:szCs w:val="28"/>
        </w:rPr>
        <w:t>、</w:t>
      </w:r>
      <w:r>
        <w:rPr>
          <w:rFonts w:hint="eastAsia" w:ascii="宋体" w:hAnsi="宋体" w:cs="宋体"/>
          <w:sz w:val="28"/>
          <w:szCs w:val="28"/>
        </w:rPr>
        <w:t>中小企业声明函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十、监狱企业证明文件</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480" w:lineRule="exact"/>
        <w:ind w:firstLine="560" w:firstLineChars="200"/>
        <w:rPr>
          <w:rFonts w:hint="eastAsia" w:ascii="宋体" w:hAnsi="宋体" w:cs="宋体"/>
          <w:b/>
          <w:sz w:val="32"/>
        </w:rPr>
      </w:pPr>
      <w:r>
        <w:rPr>
          <w:rFonts w:hint="eastAsia" w:ascii="宋体" w:hAnsi="宋体" w:cs="宋体"/>
          <w:bCs/>
          <w:sz w:val="28"/>
          <w:szCs w:val="28"/>
        </w:rPr>
        <w:t>十</w:t>
      </w:r>
      <w:r>
        <w:rPr>
          <w:rFonts w:hint="eastAsia" w:ascii="宋体" w:hAnsi="宋体" w:cs="宋体"/>
          <w:bCs/>
          <w:sz w:val="28"/>
          <w:szCs w:val="28"/>
          <w:lang w:val="en-US" w:eastAsia="zh-CN"/>
        </w:rPr>
        <w:t>一</w:t>
      </w:r>
      <w:r>
        <w:rPr>
          <w:rFonts w:hint="eastAsia" w:ascii="宋体" w:hAnsi="宋体" w:cs="宋体"/>
          <w:bCs/>
          <w:sz w:val="28"/>
          <w:szCs w:val="28"/>
        </w:rPr>
        <w:t>、残疾人福利性单位声明函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napToGrid w:val="0"/>
        <w:spacing w:line="480" w:lineRule="exact"/>
        <w:jc w:val="center"/>
        <w:rPr>
          <w:rFonts w:hint="eastAsia" w:ascii="宋体" w:hAnsi="宋体" w:cs="宋体"/>
          <w:sz w:val="32"/>
        </w:rPr>
      </w:pPr>
    </w:p>
    <w:p>
      <w:pPr>
        <w:snapToGrid w:val="0"/>
        <w:spacing w:line="480" w:lineRule="exact"/>
        <w:jc w:val="center"/>
        <w:rPr>
          <w:rFonts w:hint="eastAsia" w:ascii="宋体" w:hAnsi="宋体" w:cs="宋体"/>
          <w:sz w:val="32"/>
        </w:rPr>
      </w:pPr>
    </w:p>
    <w:p>
      <w:pPr>
        <w:pStyle w:val="58"/>
        <w:rPr>
          <w:rFonts w:hint="eastAsia" w:eastAsia="宋体" w:cs="宋体"/>
          <w:sz w:val="32"/>
        </w:rPr>
      </w:pPr>
    </w:p>
    <w:p>
      <w:pPr>
        <w:rPr>
          <w:rFonts w:hint="eastAsia" w:ascii="宋体" w:hAnsi="宋体" w:cs="宋体"/>
          <w:sz w:val="32"/>
        </w:rPr>
      </w:pPr>
    </w:p>
    <w:p>
      <w:pPr>
        <w:pStyle w:val="2"/>
        <w:rPr>
          <w:rFonts w:hint="eastAsia" w:ascii="宋体" w:hAnsi="宋体" w:cs="宋体"/>
          <w:sz w:val="32"/>
        </w:rPr>
      </w:pPr>
    </w:p>
    <w:p>
      <w:pPr>
        <w:pStyle w:val="2"/>
        <w:rPr>
          <w:rFonts w:hint="eastAsia" w:ascii="宋体" w:hAnsi="宋体" w:cs="宋体"/>
          <w:sz w:val="32"/>
        </w:rPr>
      </w:pPr>
    </w:p>
    <w:p>
      <w:pPr>
        <w:pStyle w:val="58"/>
        <w:rPr>
          <w:rFonts w:hint="eastAsia" w:eastAsia="宋体" w:cs="宋体"/>
          <w:sz w:val="32"/>
        </w:rPr>
      </w:pPr>
    </w:p>
    <w:p>
      <w:pPr>
        <w:rPr>
          <w:rFonts w:hint="eastAsia"/>
        </w:rPr>
      </w:pPr>
    </w:p>
    <w:p>
      <w:pPr>
        <w:ind w:firstLine="642" w:firstLineChars="200"/>
        <w:rPr>
          <w:rFonts w:hint="eastAsia" w:ascii="宋体" w:hAnsi="宋体" w:cs="宋体"/>
          <w:b/>
          <w:bCs/>
          <w:sz w:val="32"/>
        </w:rPr>
      </w:pPr>
      <w:r>
        <w:rPr>
          <w:rFonts w:hint="eastAsia" w:ascii="宋体" w:hAnsi="宋体" w:cs="宋体"/>
          <w:b/>
          <w:bCs/>
          <w:sz w:val="32"/>
        </w:rPr>
        <w:br w:type="page"/>
      </w:r>
    </w:p>
    <w:p>
      <w:pPr>
        <w:snapToGrid w:val="0"/>
        <w:spacing w:line="480" w:lineRule="exact"/>
        <w:jc w:val="center"/>
        <w:rPr>
          <w:rFonts w:hint="eastAsia" w:ascii="宋体" w:hAnsi="宋体" w:cs="宋体"/>
          <w:b/>
          <w:bCs/>
          <w:sz w:val="32"/>
        </w:rPr>
      </w:pPr>
      <w:r>
        <w:rPr>
          <w:rFonts w:hint="eastAsia" w:ascii="宋体" w:hAnsi="宋体" w:cs="宋体"/>
          <w:b/>
          <w:bCs/>
          <w:sz w:val="32"/>
        </w:rPr>
        <w:t>一、报价函</w:t>
      </w:r>
    </w:p>
    <w:p>
      <w:pPr>
        <w:snapToGrid w:val="0"/>
        <w:spacing w:line="480" w:lineRule="exact"/>
        <w:rPr>
          <w:rFonts w:hint="eastAsia" w:ascii="宋体" w:hAnsi="宋体" w:cs="宋体"/>
          <w:sz w:val="28"/>
        </w:rPr>
      </w:pPr>
    </w:p>
    <w:p>
      <w:pPr>
        <w:spacing w:line="480" w:lineRule="exact"/>
        <w:jc w:val="center"/>
        <w:rPr>
          <w:rFonts w:hint="eastAsia" w:ascii="宋体" w:hAnsi="宋体" w:cs="宋体"/>
          <w:b/>
          <w:color w:val="000000"/>
          <w:sz w:val="30"/>
          <w:szCs w:val="30"/>
        </w:rPr>
      </w:pPr>
    </w:p>
    <w:p>
      <w:pPr>
        <w:snapToGrid w:val="0"/>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致：</w:t>
      </w:r>
      <w:r>
        <w:rPr>
          <w:rFonts w:hint="eastAsia" w:ascii="宋体" w:hAnsi="宋体" w:cs="宋体"/>
          <w:color w:val="000000"/>
          <w:sz w:val="24"/>
          <w:szCs w:val="24"/>
          <w:lang w:eastAsia="zh-CN"/>
        </w:rPr>
        <w:t>内蒙古自治区通信管理局</w:t>
      </w:r>
    </w:p>
    <w:p>
      <w:pPr>
        <w:snapToGrid w:val="0"/>
        <w:spacing w:line="480" w:lineRule="exact"/>
        <w:ind w:firstLine="504" w:firstLineChars="200"/>
        <w:rPr>
          <w:rFonts w:hint="eastAsia" w:ascii="宋体" w:hAnsi="宋体" w:cs="宋体"/>
          <w:color w:val="000000"/>
          <w:sz w:val="24"/>
          <w:szCs w:val="24"/>
          <w:u w:val="single"/>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，我方下述签字人将按照竞争性磋商文件的规定提供报价</w:t>
      </w:r>
      <w:r>
        <w:rPr>
          <w:rFonts w:hint="eastAsia" w:ascii="宋体" w:hAnsi="宋体" w:cs="宋体"/>
          <w:sz w:val="24"/>
          <w:szCs w:val="24"/>
        </w:rPr>
        <w:t>为</w:t>
      </w:r>
      <w:r>
        <w:rPr>
          <w:rFonts w:hint="eastAsia" w:ascii="宋体" w:hAnsi="宋体" w:cs="宋体"/>
          <w:sz w:val="24"/>
          <w:szCs w:val="24"/>
          <w:u w:val="single"/>
        </w:rPr>
        <w:t xml:space="preserve">大写        元，小写    </w:t>
      </w:r>
      <w:r>
        <w:rPr>
          <w:rFonts w:hint="eastAsia" w:ascii="宋体" w:hAnsi="宋体" w:cs="宋体"/>
          <w:sz w:val="24"/>
          <w:szCs w:val="24"/>
          <w:u w:val="single"/>
        </w:rPr>
        <w:tab/>
      </w:r>
      <w:r>
        <w:rPr>
          <w:rFonts w:hint="eastAsia" w:ascii="宋体" w:hAnsi="宋体" w:cs="宋体"/>
          <w:sz w:val="24"/>
          <w:szCs w:val="24"/>
          <w:u w:val="single"/>
        </w:rPr>
        <w:t>元</w:t>
      </w:r>
      <w:r>
        <w:rPr>
          <w:rFonts w:hint="eastAsia" w:ascii="宋体" w:hAnsi="宋体" w:cs="宋体"/>
          <w:color w:val="000000"/>
          <w:sz w:val="24"/>
          <w:szCs w:val="24"/>
        </w:rPr>
        <w:t>。并作出如下承诺：</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我方保证忠实地执行甲、乙双方所签的合同，并承担合同规定的责任和义务。</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4、我方提交的响应文件及报价自提交日期起</w:t>
      </w:r>
      <w:r>
        <w:rPr>
          <w:rFonts w:hint="eastAsia" w:ascii="宋体" w:hAnsi="宋体" w:cs="宋体"/>
          <w:color w:val="000000"/>
          <w:sz w:val="24"/>
          <w:szCs w:val="24"/>
          <w:u w:val="single"/>
        </w:rPr>
        <w:t xml:space="preserve">     天</w:t>
      </w:r>
      <w:r>
        <w:rPr>
          <w:rFonts w:hint="eastAsia" w:ascii="宋体" w:hAnsi="宋体" w:cs="宋体"/>
          <w:color w:val="000000"/>
          <w:sz w:val="24"/>
          <w:szCs w:val="24"/>
        </w:rPr>
        <w:t>有效，并对我方具有约束力。</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5、在正式合同准备好和签字前，本报价函及贵方的书面成交结果通知书将构成约束我们双方的合同内容。</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6、我</w:t>
      </w:r>
      <w:r>
        <w:rPr>
          <w:rFonts w:hint="eastAsia" w:ascii="宋体" w:hAnsi="宋体" w:cs="宋体"/>
          <w:spacing w:val="5"/>
          <w:kern w:val="0"/>
          <w:sz w:val="24"/>
          <w:szCs w:val="24"/>
        </w:rPr>
        <w:t>们</w:t>
      </w:r>
      <w:r>
        <w:rPr>
          <w:rFonts w:hint="eastAsia" w:ascii="宋体" w:hAnsi="宋体" w:cs="宋体"/>
          <w:kern w:val="0"/>
          <w:sz w:val="24"/>
          <w:szCs w:val="24"/>
        </w:rPr>
        <w:t>确认采购人</w:t>
      </w:r>
      <w:r>
        <w:rPr>
          <w:rFonts w:hint="eastAsia" w:ascii="宋体" w:hAnsi="宋体" w:cs="宋体"/>
          <w:spacing w:val="5"/>
          <w:kern w:val="0"/>
          <w:sz w:val="24"/>
          <w:szCs w:val="24"/>
        </w:rPr>
        <w:t>有</w:t>
      </w:r>
      <w:r>
        <w:rPr>
          <w:rFonts w:hint="eastAsia" w:ascii="宋体" w:hAnsi="宋体" w:cs="宋体"/>
          <w:kern w:val="0"/>
          <w:sz w:val="24"/>
          <w:szCs w:val="24"/>
        </w:rPr>
        <w:t>权根据竞争</w:t>
      </w:r>
      <w:r>
        <w:rPr>
          <w:rFonts w:hint="eastAsia" w:ascii="宋体" w:hAnsi="宋体" w:cs="宋体"/>
          <w:spacing w:val="5"/>
          <w:kern w:val="0"/>
          <w:sz w:val="24"/>
          <w:szCs w:val="24"/>
        </w:rPr>
        <w:t>性</w:t>
      </w:r>
      <w:r>
        <w:rPr>
          <w:rFonts w:hint="eastAsia" w:ascii="宋体" w:hAnsi="宋体" w:cs="宋体"/>
          <w:kern w:val="0"/>
          <w:sz w:val="24"/>
          <w:szCs w:val="24"/>
        </w:rPr>
        <w:t>竞争性磋商</w:t>
      </w:r>
      <w:r>
        <w:rPr>
          <w:rFonts w:hint="eastAsia" w:ascii="宋体" w:hAnsi="宋体" w:cs="宋体"/>
          <w:spacing w:val="5"/>
          <w:kern w:val="0"/>
          <w:sz w:val="24"/>
          <w:szCs w:val="24"/>
        </w:rPr>
        <w:t>文</w:t>
      </w:r>
      <w:r>
        <w:rPr>
          <w:rFonts w:hint="eastAsia" w:ascii="宋体" w:hAnsi="宋体" w:cs="宋体"/>
          <w:kern w:val="0"/>
          <w:sz w:val="24"/>
          <w:szCs w:val="24"/>
        </w:rPr>
        <w:t>件的规定，</w:t>
      </w:r>
      <w:r>
        <w:rPr>
          <w:rFonts w:hint="eastAsia" w:ascii="宋体" w:hAnsi="宋体" w:cs="宋体"/>
          <w:spacing w:val="5"/>
          <w:kern w:val="0"/>
          <w:sz w:val="24"/>
          <w:szCs w:val="24"/>
        </w:rPr>
        <w:t>在</w:t>
      </w:r>
      <w:r>
        <w:rPr>
          <w:rFonts w:hint="eastAsia" w:ascii="宋体" w:hAnsi="宋体" w:cs="宋体"/>
          <w:kern w:val="0"/>
          <w:sz w:val="24"/>
          <w:szCs w:val="24"/>
        </w:rPr>
        <w:t>供应商未能履行规定责任时没收其磋商保证金。</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7、我</w:t>
      </w:r>
      <w:r>
        <w:rPr>
          <w:rFonts w:hint="eastAsia" w:ascii="宋体" w:hAnsi="宋体" w:cs="宋体"/>
          <w:spacing w:val="5"/>
          <w:kern w:val="0"/>
          <w:sz w:val="24"/>
          <w:szCs w:val="24"/>
        </w:rPr>
        <w:t>们</w:t>
      </w:r>
      <w:r>
        <w:rPr>
          <w:rFonts w:hint="eastAsia" w:ascii="宋体" w:hAnsi="宋体" w:cs="宋体"/>
          <w:kern w:val="0"/>
          <w:sz w:val="24"/>
          <w:szCs w:val="24"/>
        </w:rPr>
        <w:t>确认我们完</w:t>
      </w:r>
      <w:r>
        <w:rPr>
          <w:rFonts w:hint="eastAsia" w:ascii="宋体" w:hAnsi="宋体" w:cs="宋体"/>
          <w:spacing w:val="5"/>
          <w:kern w:val="0"/>
          <w:sz w:val="24"/>
          <w:szCs w:val="24"/>
        </w:rPr>
        <w:t>全</w:t>
      </w:r>
      <w:r>
        <w:rPr>
          <w:rFonts w:hint="eastAsia" w:ascii="宋体" w:hAnsi="宋体" w:cs="宋体"/>
          <w:kern w:val="0"/>
          <w:sz w:val="24"/>
          <w:szCs w:val="24"/>
        </w:rPr>
        <w:t>同意竞争性</w:t>
      </w:r>
      <w:r>
        <w:rPr>
          <w:rFonts w:hint="eastAsia" w:ascii="宋体" w:hAnsi="宋体" w:cs="宋体"/>
          <w:spacing w:val="5"/>
          <w:kern w:val="0"/>
          <w:sz w:val="24"/>
          <w:szCs w:val="24"/>
        </w:rPr>
        <w:t>竞</w:t>
      </w:r>
      <w:r>
        <w:rPr>
          <w:rFonts w:hint="eastAsia" w:ascii="宋体" w:hAnsi="宋体" w:cs="宋体"/>
          <w:kern w:val="0"/>
          <w:sz w:val="24"/>
          <w:szCs w:val="24"/>
        </w:rPr>
        <w:t>争性磋商文</w:t>
      </w:r>
      <w:r>
        <w:rPr>
          <w:rFonts w:hint="eastAsia" w:ascii="宋体" w:hAnsi="宋体" w:cs="宋体"/>
          <w:spacing w:val="5"/>
          <w:kern w:val="0"/>
          <w:sz w:val="24"/>
          <w:szCs w:val="24"/>
        </w:rPr>
        <w:t>件</w:t>
      </w:r>
      <w:r>
        <w:rPr>
          <w:rFonts w:hint="eastAsia" w:ascii="宋体" w:hAnsi="宋体" w:cs="宋体"/>
          <w:kern w:val="0"/>
          <w:sz w:val="24"/>
          <w:szCs w:val="24"/>
        </w:rPr>
        <w:t>制定的投标</w:t>
      </w:r>
      <w:r>
        <w:rPr>
          <w:rFonts w:hint="eastAsia" w:ascii="宋体" w:hAnsi="宋体" w:cs="宋体"/>
          <w:spacing w:val="5"/>
          <w:kern w:val="0"/>
          <w:sz w:val="24"/>
          <w:szCs w:val="24"/>
        </w:rPr>
        <w:t>规</w:t>
      </w:r>
      <w:r>
        <w:rPr>
          <w:rFonts w:hint="eastAsia" w:ascii="宋体" w:hAnsi="宋体" w:cs="宋体"/>
          <w:kern w:val="0"/>
          <w:sz w:val="24"/>
          <w:szCs w:val="24"/>
        </w:rPr>
        <w:t>则，并承诺按照这</w:t>
      </w:r>
      <w:r>
        <w:rPr>
          <w:rFonts w:hint="eastAsia" w:ascii="宋体" w:hAnsi="宋体" w:cs="宋体"/>
          <w:spacing w:val="5"/>
          <w:kern w:val="0"/>
          <w:sz w:val="24"/>
          <w:szCs w:val="24"/>
        </w:rPr>
        <w:t>些</w:t>
      </w:r>
      <w:r>
        <w:rPr>
          <w:rFonts w:hint="eastAsia" w:ascii="宋体" w:hAnsi="宋体" w:cs="宋体"/>
          <w:kern w:val="0"/>
          <w:sz w:val="24"/>
          <w:szCs w:val="24"/>
        </w:rPr>
        <w:t>规则履行我</w:t>
      </w:r>
      <w:r>
        <w:rPr>
          <w:rFonts w:hint="eastAsia" w:ascii="宋体" w:hAnsi="宋体" w:cs="宋体"/>
          <w:spacing w:val="5"/>
          <w:kern w:val="0"/>
          <w:sz w:val="24"/>
          <w:szCs w:val="24"/>
        </w:rPr>
        <w:t>们</w:t>
      </w:r>
      <w:r>
        <w:rPr>
          <w:rFonts w:hint="eastAsia" w:ascii="宋体" w:hAnsi="宋体" w:cs="宋体"/>
          <w:kern w:val="0"/>
          <w:sz w:val="24"/>
          <w:szCs w:val="24"/>
        </w:rPr>
        <w:t>所有的义务</w:t>
      </w:r>
      <w:r>
        <w:rPr>
          <w:rFonts w:hint="eastAsia" w:ascii="宋体" w:hAnsi="宋体" w:cs="宋体"/>
          <w:spacing w:val="5"/>
          <w:kern w:val="0"/>
          <w:sz w:val="24"/>
          <w:szCs w:val="24"/>
        </w:rPr>
        <w:t>，</w:t>
      </w:r>
      <w:r>
        <w:rPr>
          <w:rFonts w:hint="eastAsia" w:ascii="宋体" w:hAnsi="宋体" w:cs="宋体"/>
          <w:kern w:val="0"/>
          <w:sz w:val="24"/>
          <w:szCs w:val="24"/>
        </w:rPr>
        <w:t>包括，一旦</w:t>
      </w:r>
      <w:r>
        <w:rPr>
          <w:rFonts w:hint="eastAsia" w:ascii="宋体" w:hAnsi="宋体" w:cs="宋体"/>
          <w:spacing w:val="5"/>
          <w:kern w:val="0"/>
          <w:sz w:val="24"/>
          <w:szCs w:val="24"/>
        </w:rPr>
        <w:t>我</w:t>
      </w:r>
      <w:r>
        <w:rPr>
          <w:rFonts w:hint="eastAsia" w:ascii="宋体" w:hAnsi="宋体" w:cs="宋体"/>
          <w:kern w:val="0"/>
          <w:sz w:val="24"/>
          <w:szCs w:val="24"/>
        </w:rPr>
        <w:t>们的竞标被</w:t>
      </w:r>
      <w:r>
        <w:rPr>
          <w:rFonts w:hint="eastAsia" w:ascii="宋体" w:hAnsi="宋体" w:cs="宋体"/>
          <w:spacing w:val="5"/>
          <w:kern w:val="0"/>
          <w:sz w:val="24"/>
          <w:szCs w:val="24"/>
        </w:rPr>
        <w:t>采</w:t>
      </w:r>
      <w:r>
        <w:rPr>
          <w:rFonts w:hint="eastAsia" w:ascii="宋体" w:hAnsi="宋体" w:cs="宋体"/>
          <w:kern w:val="0"/>
          <w:sz w:val="24"/>
          <w:szCs w:val="24"/>
        </w:rPr>
        <w:t>购人接受，履行成交供应商的义务。</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8、我们保证我们已遵守竞争性竞争性磋商文件的全部规定</w:t>
      </w:r>
      <w:r>
        <w:rPr>
          <w:rFonts w:hint="eastAsia" w:ascii="宋体" w:hAnsi="宋体" w:cs="宋体"/>
          <w:spacing w:val="-48"/>
          <w:kern w:val="0"/>
          <w:sz w:val="24"/>
          <w:szCs w:val="24"/>
        </w:rPr>
        <w:t>，</w:t>
      </w:r>
      <w:r>
        <w:rPr>
          <w:rFonts w:hint="eastAsia" w:ascii="宋体" w:hAnsi="宋体" w:cs="宋体"/>
          <w:kern w:val="0"/>
          <w:sz w:val="24"/>
          <w:szCs w:val="24"/>
        </w:rPr>
        <w:t>确认我们参加本次采购所提供的全部资料真实有效，若为复印件保证与原件一致。</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9、我们在此保</w:t>
      </w:r>
      <w:r>
        <w:rPr>
          <w:rFonts w:hint="eastAsia" w:ascii="宋体" w:hAnsi="宋体" w:cs="宋体"/>
          <w:spacing w:val="5"/>
          <w:kern w:val="0"/>
          <w:sz w:val="24"/>
          <w:szCs w:val="24"/>
        </w:rPr>
        <w:t>证</w:t>
      </w:r>
      <w:r>
        <w:rPr>
          <w:rFonts w:hint="eastAsia" w:ascii="宋体" w:hAnsi="宋体" w:cs="宋体"/>
          <w:spacing w:val="-34"/>
          <w:kern w:val="0"/>
          <w:sz w:val="24"/>
          <w:szCs w:val="24"/>
        </w:rPr>
        <w:t>，</w:t>
      </w:r>
      <w:r>
        <w:rPr>
          <w:rFonts w:hint="eastAsia" w:ascii="宋体" w:hAnsi="宋体" w:cs="宋体"/>
          <w:kern w:val="0"/>
          <w:sz w:val="24"/>
          <w:szCs w:val="24"/>
        </w:rPr>
        <w:t>本响应文件的所有内容均属独立完成</w:t>
      </w:r>
      <w:r>
        <w:rPr>
          <w:rFonts w:hint="eastAsia" w:ascii="宋体" w:hAnsi="宋体" w:cs="宋体"/>
          <w:spacing w:val="-29"/>
          <w:kern w:val="0"/>
          <w:sz w:val="24"/>
          <w:szCs w:val="24"/>
        </w:rPr>
        <w:t>，</w:t>
      </w:r>
      <w:r>
        <w:rPr>
          <w:rFonts w:hint="eastAsia" w:ascii="宋体" w:hAnsi="宋体" w:cs="宋体"/>
          <w:kern w:val="0"/>
          <w:sz w:val="24"/>
          <w:szCs w:val="24"/>
        </w:rPr>
        <w:t>未经与其他响应供应商以限制本项目的竞争为目的进行协商、合作或达成协议后完成。</w:t>
      </w:r>
    </w:p>
    <w:p>
      <w:pPr>
        <w:tabs>
          <w:tab w:val="left" w:pos="5560"/>
          <w:tab w:val="left" w:pos="6400"/>
        </w:tabs>
        <w:spacing w:line="272" w:lineRule="auto"/>
        <w:ind w:left="2530" w:right="366"/>
        <w:rPr>
          <w:rFonts w:hint="eastAsia" w:ascii="宋体" w:hAnsi="宋体" w:cs="宋体"/>
          <w:sz w:val="24"/>
          <w:szCs w:val="24"/>
        </w:rPr>
      </w:pPr>
    </w:p>
    <w:p>
      <w:pPr>
        <w:pStyle w:val="58"/>
        <w:rPr>
          <w:rFonts w:hint="eastAsia"/>
        </w:rPr>
      </w:pPr>
    </w:p>
    <w:p>
      <w:pPr>
        <w:tabs>
          <w:tab w:val="left" w:pos="5560"/>
          <w:tab w:val="left" w:pos="6400"/>
        </w:tabs>
        <w:spacing w:line="272" w:lineRule="auto"/>
        <w:ind w:left="2530" w:right="366"/>
        <w:rPr>
          <w:rFonts w:hint="eastAsia" w:ascii="宋体" w:hAnsi="宋体" w:cs="宋体"/>
          <w:sz w:val="24"/>
          <w:szCs w:val="24"/>
        </w:rPr>
      </w:pP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cs="宋体"/>
          <w:sz w:val="24"/>
          <w:szCs w:val="24"/>
        </w:rPr>
        <w:t>供应商</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rPr>
        <w:t>（盖章）</w:t>
      </w: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eastAsia="宋体" w:cs="宋体"/>
          <w:sz w:val="24"/>
          <w:szCs w:val="24"/>
        </w:rPr>
        <w:t>法定</w:t>
      </w:r>
      <w:r>
        <w:rPr>
          <w:rFonts w:hint="eastAsia" w:ascii="宋体" w:hAnsi="宋体" w:cs="宋体"/>
          <w:sz w:val="24"/>
          <w:szCs w:val="24"/>
        </w:rPr>
        <w:t>代表人或授权委托人</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u w:val="single" w:color="000000"/>
        </w:rPr>
        <w:tab/>
      </w:r>
      <w:r>
        <w:rPr>
          <w:rFonts w:hint="eastAsia" w:ascii="宋体" w:hAnsi="宋体" w:cs="宋体"/>
          <w:sz w:val="24"/>
          <w:szCs w:val="24"/>
        </w:rPr>
        <w:t>（签字或盖章）</w:t>
      </w:r>
    </w:p>
    <w:p>
      <w:pPr>
        <w:tabs>
          <w:tab w:val="left" w:pos="5560"/>
          <w:tab w:val="left" w:pos="6400"/>
        </w:tabs>
        <w:spacing w:line="272" w:lineRule="auto"/>
        <w:ind w:left="2530" w:right="366"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ind w:firstLine="642" w:firstLineChars="200"/>
        <w:rPr>
          <w:rFonts w:hint="eastAsia" w:ascii="宋体" w:hAnsi="宋体" w:cs="宋体"/>
          <w:b/>
          <w:bCs/>
          <w:position w:val="-3"/>
          <w:sz w:val="32"/>
          <w:szCs w:val="32"/>
        </w:rPr>
      </w:pPr>
      <w:r>
        <w:rPr>
          <w:rFonts w:hint="eastAsia" w:ascii="宋体" w:hAnsi="宋体" w:cs="宋体"/>
          <w:b/>
          <w:bCs/>
          <w:position w:val="-3"/>
          <w:sz w:val="32"/>
          <w:szCs w:val="32"/>
        </w:rPr>
        <w:br w:type="page"/>
      </w:r>
    </w:p>
    <w:p>
      <w:pPr>
        <w:snapToGrid w:val="0"/>
        <w:spacing w:line="360" w:lineRule="auto"/>
        <w:jc w:val="center"/>
        <w:rPr>
          <w:rFonts w:hint="eastAsia" w:ascii="宋体" w:hAnsi="宋体" w:eastAsia="宋体" w:cs="宋体"/>
          <w:b/>
          <w:bCs/>
          <w:sz w:val="32"/>
        </w:rPr>
      </w:pPr>
      <w:r>
        <w:rPr>
          <w:rFonts w:hint="eastAsia" w:ascii="宋体" w:hAnsi="宋体" w:eastAsia="宋体" w:cs="宋体"/>
          <w:b/>
          <w:bCs/>
          <w:sz w:val="32"/>
        </w:rPr>
        <w:t>二、法定代表人授权委托书</w:t>
      </w:r>
    </w:p>
    <w:p>
      <w:pPr>
        <w:spacing w:line="500" w:lineRule="exact"/>
        <w:ind w:firstLine="420" w:firstLineChars="200"/>
        <w:rPr>
          <w:rFonts w:hint="eastAsia" w:ascii="宋体" w:hAnsi="宋体" w:cs="宋体"/>
          <w:szCs w:val="21"/>
          <w:highlight w:val="white"/>
        </w:rPr>
      </w:pPr>
      <w:r>
        <w:rPr>
          <w:rFonts w:hint="eastAsia" w:ascii="宋体" w:hAnsi="宋体" w:cs="宋体"/>
          <w:szCs w:val="21"/>
          <w:highlight w:val="white"/>
        </w:rPr>
        <w:t>本人（</w:t>
      </w:r>
      <w:r>
        <w:rPr>
          <w:rFonts w:hint="eastAsia" w:ascii="宋体" w:hAnsi="宋体" w:cs="宋体"/>
          <w:szCs w:val="21"/>
          <w:highlight w:val="white"/>
          <w:u w:val="single"/>
        </w:rPr>
        <w:t>姓名</w:t>
      </w:r>
      <w:r>
        <w:rPr>
          <w:rFonts w:hint="eastAsia" w:ascii="宋体" w:hAnsi="宋体" w:cs="宋体"/>
          <w:szCs w:val="21"/>
          <w:highlight w:val="white"/>
        </w:rPr>
        <w:t>）系（</w:t>
      </w:r>
      <w:r>
        <w:rPr>
          <w:rFonts w:hint="eastAsia" w:ascii="宋体" w:hAnsi="宋体" w:cs="宋体"/>
          <w:szCs w:val="21"/>
          <w:highlight w:val="white"/>
          <w:u w:val="single"/>
        </w:rPr>
        <w:t>供应商名称</w:t>
      </w:r>
      <w:r>
        <w:rPr>
          <w:rFonts w:hint="eastAsia" w:ascii="宋体" w:hAnsi="宋体" w:cs="宋体"/>
          <w:szCs w:val="21"/>
          <w:highlight w:val="white"/>
        </w:rPr>
        <w:t>）的法定代表人，现委托（</w:t>
      </w:r>
      <w:r>
        <w:rPr>
          <w:rFonts w:hint="eastAsia" w:ascii="宋体" w:hAnsi="宋体" w:cs="宋体"/>
          <w:szCs w:val="21"/>
          <w:highlight w:val="white"/>
          <w:u w:val="single"/>
        </w:rPr>
        <w:t>姓名</w:t>
      </w:r>
      <w:r>
        <w:rPr>
          <w:rFonts w:hint="eastAsia" w:ascii="宋体" w:hAnsi="宋体" w:cs="宋体"/>
          <w:szCs w:val="21"/>
          <w:highlight w:val="white"/>
        </w:rPr>
        <w:t>）为我方代理人。代理人根据授权，以我方名义签署、澄清、说明、补正、递交、撤回、修改（项目名称）响应文件、签订合同和处理有关事宜，其法律后果由我方承担。</w:t>
      </w:r>
    </w:p>
    <w:p>
      <w:pPr>
        <w:spacing w:before="120" w:line="500" w:lineRule="exact"/>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p>
    <w:p>
      <w:pPr>
        <w:spacing w:before="240" w:after="240" w:line="500" w:lineRule="exact"/>
        <w:ind w:firstLine="420" w:firstLineChars="200"/>
        <w:rPr>
          <w:rFonts w:hint="eastAsia" w:ascii="宋体" w:hAnsi="宋体" w:cs="宋体"/>
          <w:szCs w:val="21"/>
          <w:highlight w:val="white"/>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573405</wp:posOffset>
                </wp:positionV>
                <wp:extent cx="2371725" cy="1381125"/>
                <wp:effectExtent l="0" t="0" r="0" b="0"/>
                <wp:wrapNone/>
                <wp:docPr id="2" name="AutoShape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wrap="square" upright="true"/>
                    </wps:wsp>
                  </a:graphicData>
                </a:graphic>
              </wp:anchor>
            </w:drawing>
          </mc:Choice>
          <mc:Fallback>
            <w:pict>
              <v:roundrect id="AutoShape 3" o:spid="_x0000_s1026" o:spt="2" style="position:absolute;left:0pt;margin-left:214.2pt;margin-top:45.15pt;height:108.75pt;width:186.75pt;z-index:251660288;mso-width-relative:page;mso-height-relative:page;" fillcolor="#FFFFFF" filled="t" stroked="t" coordsize="21600,21600" arcsize="0.166666666666667" o:gfxdata="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7b+r22gAAAAoB&#10;AAAPAAAAAAAAAAEAIAAAADgAAABkcnMvZG93bnJldi54bWxQSwECFAAUAAAACACHTuJAUxu2eQMC&#10;AAAkBAAADgAAAAAAAAABACAAAA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法定代表人身份证背面复印件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573405</wp:posOffset>
                </wp:positionV>
                <wp:extent cx="2371725" cy="1381125"/>
                <wp:effectExtent l="0" t="0" r="0" b="0"/>
                <wp:wrapNone/>
                <wp:docPr id="1" name="AutoShape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wrap="square" upright="true"/>
                    </wps:wsp>
                  </a:graphicData>
                </a:graphic>
              </wp:anchor>
            </w:drawing>
          </mc:Choice>
          <mc:Fallback>
            <w:pict>
              <v:roundrect id="AutoShape 4" o:spid="_x0000_s1026" o:spt="2" style="position:absolute;left:0pt;margin-left:18.45pt;margin-top:45.15pt;height:108.75pt;width:186.75pt;z-index:251659264;mso-width-relative:page;mso-height-relative:page;" fillcolor="#FFFFFF" filled="t" stroked="t" coordsize="21600,21600" arcsize="0.166666666666667" o:gfxdata="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DgiRa2AAAAAkB&#10;AAAPAAAAAAAAAAEAIAAAADgAAABkcnMvZG93bnJldi54bWxQSwECFAAUAAAACACHTuJA2E1gsAUC&#10;AAAkBAAADgAAAAAAAAABACAAAAA9AQAAZHJzL2Uyb0RvYy54bWxQSwUGAAAAAAYABgBZAQAAtAUA&#10;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cs="宋体"/>
          <w:szCs w:val="21"/>
          <w:highlight w:val="white"/>
        </w:rPr>
        <w:t>代理人无转委托权。</w:t>
      </w:r>
    </w:p>
    <w:p>
      <w:pPr>
        <w:spacing w:line="500" w:lineRule="exact"/>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2720340</wp:posOffset>
                </wp:positionH>
                <wp:positionV relativeFrom="paragraph">
                  <wp:posOffset>236855</wp:posOffset>
                </wp:positionV>
                <wp:extent cx="2371725" cy="1381125"/>
                <wp:effectExtent l="0" t="0" r="0" b="0"/>
                <wp:wrapNone/>
                <wp:docPr id="5" name="AutoShape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wrap="square" upright="true"/>
                    </wps:wsp>
                  </a:graphicData>
                </a:graphic>
              </wp:anchor>
            </w:drawing>
          </mc:Choice>
          <mc:Fallback>
            <w:pict>
              <v:roundrect id="AutoShape 6" o:spid="_x0000_s1026" o:spt="2" style="position:absolute;left:0pt;margin-left:214.2pt;margin-top:18.65pt;height:108.75pt;width:186.75pt;z-index:251662336;mso-width-relative:page;mso-height-relative:page;" fillcolor="#FFFFFF" filled="t" stroked="t" coordsize="21600,21600" arcsize="0.166666666666667" o:gfxdata="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hfNlR2wAAAAoB&#10;AAAPAAAAAAAAAAEAIAAAADgAAABkcnMvZG93bnJldi54bWxQSwECFAAUAAAACACHTuJAFFoEiwIC&#10;AAAkBAAADgAAAAAAAAABACAAAAB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授权委托人身份证背面复印件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236855</wp:posOffset>
                </wp:positionV>
                <wp:extent cx="2371725" cy="1381125"/>
                <wp:effectExtent l="0" t="0" r="0" b="0"/>
                <wp:wrapNone/>
                <wp:docPr id="4" name="AutoShape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wrap="square" upright="true"/>
                    </wps:wsp>
                  </a:graphicData>
                </a:graphic>
              </wp:anchor>
            </w:drawing>
          </mc:Choice>
          <mc:Fallback>
            <w:pict>
              <v:roundrect id="AutoShape 7" o:spid="_x0000_s1026" o:spt="2" style="position:absolute;left:0pt;margin-left:18.45pt;margin-top:18.65pt;height:108.75pt;width:186.75pt;z-index:251661312;mso-width-relative:page;mso-height-relative:page;" fillcolor="#FFFFFF" filled="t" stroked="t" coordsize="21600,21600" arcsize="0.166666666666667" o:gfxdata="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mRF/3ZAAAA&#10;CQEAAA8AAAAAAAAAAQAgAAAAOAAAAGRycy9kb3ducmV2LnhtbFBLAQIUABQAAAAIAIdO4kADfLWP&#10;BgIAACQEAAAOAAAAAAAAAAEAIAAAAD4BAABkcnMvZTJvRG9jLnhtbFBLBQYAAAAABgAGAFkBAAC2&#10;BQ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rPr>
        <w:t>供应商</w:t>
      </w:r>
      <w:r>
        <w:rPr>
          <w:rFonts w:hint="eastAsia" w:ascii="宋体" w:hAnsi="宋体" w:cs="宋体"/>
          <w:szCs w:val="21"/>
          <w:highlight w:val="white"/>
        </w:rPr>
        <w:t>：（公章）</w:t>
      </w:r>
      <w:r>
        <w:rPr>
          <w:rFonts w:hint="eastAsia" w:ascii="宋体" w:hAnsi="宋体" w:cs="宋体"/>
          <w:szCs w:val="21"/>
          <w:u w:val="single"/>
        </w:rPr>
        <w:t xml:space="preserve">                                   </w:t>
      </w: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法定代表人：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委托代理人：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jc w:val="both"/>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年   月    日</w:t>
      </w:r>
    </w:p>
    <w:p>
      <w:pPr>
        <w:widowControl/>
        <w:ind w:firstLine="560" w:firstLineChars="200"/>
        <w:jc w:val="center"/>
        <w:rPr>
          <w:rFonts w:hint="eastAsia" w:ascii="宋体" w:hAnsi="宋体" w:cs="宋体"/>
          <w:b/>
          <w:sz w:val="36"/>
          <w:szCs w:val="36"/>
        </w:rPr>
      </w:pPr>
      <w:r>
        <w:rPr>
          <w:rFonts w:hint="eastAsia" w:ascii="宋体" w:hAnsi="宋体" w:cs="宋体"/>
          <w:position w:val="-3"/>
          <w:sz w:val="28"/>
          <w:szCs w:val="28"/>
        </w:rPr>
        <w:br w:type="page"/>
      </w:r>
      <w:r>
        <w:rPr>
          <w:rFonts w:hint="eastAsia" w:ascii="宋体" w:hAnsi="宋体" w:eastAsia="宋体" w:cs="宋体"/>
          <w:b/>
          <w:bCs/>
          <w:sz w:val="32"/>
        </w:rPr>
        <w:t>三、响应首轮报价表</w:t>
      </w:r>
    </w:p>
    <w:p>
      <w:pPr>
        <w:spacing w:line="360" w:lineRule="auto"/>
        <w:ind w:firstLine="480" w:firstLineChars="200"/>
        <w:jc w:val="left"/>
        <w:rPr>
          <w:rFonts w:hint="eastAsia" w:ascii="宋体" w:hAnsi="宋体" w:cs="宋体"/>
          <w:sz w:val="24"/>
        </w:rPr>
      </w:pPr>
      <w:r>
        <w:rPr>
          <w:rFonts w:hint="eastAsia" w:ascii="宋体" w:hAnsi="宋体" w:cs="宋体"/>
          <w:sz w:val="24"/>
        </w:rPr>
        <w:t>项目名称：</w:t>
      </w:r>
    </w:p>
    <w:tbl>
      <w:tblPr>
        <w:tblStyle w:val="30"/>
        <w:tblW w:w="9773" w:type="dxa"/>
        <w:tblInd w:w="93" w:type="dxa"/>
        <w:tblLayout w:type="autofit"/>
        <w:tblCellMar>
          <w:top w:w="0" w:type="dxa"/>
          <w:left w:w="108" w:type="dxa"/>
          <w:bottom w:w="0" w:type="dxa"/>
          <w:right w:w="108" w:type="dxa"/>
        </w:tblCellMar>
      </w:tblPr>
      <w:tblGrid>
        <w:gridCol w:w="1348"/>
        <w:gridCol w:w="2484"/>
        <w:gridCol w:w="3368"/>
        <w:gridCol w:w="2573"/>
      </w:tblGrid>
      <w:tr>
        <w:tblPrEx>
          <w:tblCellMar>
            <w:top w:w="0" w:type="dxa"/>
            <w:left w:w="108" w:type="dxa"/>
            <w:bottom w:w="0" w:type="dxa"/>
            <w:right w:w="108" w:type="dxa"/>
          </w:tblCellMar>
        </w:tblPrEx>
        <w:trPr>
          <w:trHeight w:val="100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项目名称</w:t>
            </w:r>
          </w:p>
        </w:tc>
        <w:tc>
          <w:tcPr>
            <w:tcW w:w="248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服务期限</w:t>
            </w:r>
          </w:p>
        </w:tc>
        <w:tc>
          <w:tcPr>
            <w:tcW w:w="336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服务地点</w:t>
            </w:r>
          </w:p>
        </w:tc>
        <w:tc>
          <w:tcPr>
            <w:tcW w:w="257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002" w:hRule="atLeast"/>
        </w:trPr>
        <w:tc>
          <w:tcPr>
            <w:tcW w:w="13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484" w:type="dxa"/>
            <w:tcBorders>
              <w:top w:val="nil"/>
              <w:left w:val="nil"/>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kern w:val="0"/>
                <w:sz w:val="24"/>
                <w:szCs w:val="24"/>
              </w:rPr>
            </w:pPr>
            <w:r>
              <w:rPr>
                <w:rFonts w:hint="eastAsia" w:ascii="宋体" w:hAnsi="宋体" w:cs="宋体"/>
                <w:kern w:val="0"/>
                <w:sz w:val="24"/>
                <w:szCs w:val="24"/>
              </w:rPr>
              <w:t>　</w:t>
            </w:r>
          </w:p>
          <w:p>
            <w:pPr>
              <w:widowControl/>
              <w:spacing w:line="360" w:lineRule="auto"/>
              <w:jc w:val="center"/>
              <w:rPr>
                <w:rFonts w:hint="eastAsia" w:ascii="宋体" w:hAnsi="宋体" w:cs="宋体"/>
                <w:kern w:val="0"/>
                <w:sz w:val="24"/>
                <w:szCs w:val="24"/>
              </w:rPr>
            </w:pPr>
          </w:p>
          <w:p>
            <w:pPr>
              <w:widowControl/>
              <w:spacing w:line="360" w:lineRule="auto"/>
              <w:jc w:val="center"/>
              <w:rPr>
                <w:rFonts w:hint="eastAsia" w:ascii="宋体" w:hAnsi="宋体" w:cs="宋体"/>
                <w:kern w:val="0"/>
                <w:sz w:val="24"/>
                <w:szCs w:val="24"/>
              </w:rPr>
            </w:pPr>
          </w:p>
        </w:tc>
        <w:tc>
          <w:tcPr>
            <w:tcW w:w="336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57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002" w:hRule="atLeast"/>
        </w:trPr>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投标总报价（元）</w:t>
            </w: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1002" w:hRule="atLeast"/>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小写：</w:t>
            </w:r>
          </w:p>
        </w:tc>
      </w:tr>
      <w:tr>
        <w:tblPrEx>
          <w:tblCellMar>
            <w:top w:w="0" w:type="dxa"/>
            <w:left w:w="108" w:type="dxa"/>
            <w:bottom w:w="0" w:type="dxa"/>
            <w:right w:w="108" w:type="dxa"/>
          </w:tblCellMar>
        </w:tblPrEx>
        <w:trPr>
          <w:trHeight w:val="1002" w:hRule="atLeast"/>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Arial" w:cs="宋体"/>
                <w:spacing w:val="-3"/>
                <w:kern w:val="0"/>
                <w:sz w:val="24"/>
              </w:rPr>
              <w:t>说明：投标报价应包含一切与投标有关的费用（无论任何理由，采购人不再另行支付成交价以外的任何费用）。</w:t>
            </w:r>
          </w:p>
        </w:tc>
      </w:tr>
    </w:tbl>
    <w:p>
      <w:pPr>
        <w:spacing w:line="360" w:lineRule="auto"/>
        <w:rPr>
          <w:rFonts w:hint="eastAsia" w:ascii="宋体" w:hAnsi="宋体" w:cs="宋体"/>
          <w:sz w:val="24"/>
        </w:rPr>
      </w:pPr>
    </w:p>
    <w:p>
      <w:pPr>
        <w:snapToGrid w:val="0"/>
        <w:spacing w:line="480" w:lineRule="exact"/>
        <w:ind w:firstLine="550"/>
        <w:rPr>
          <w:rFonts w:hint="eastAsia" w:ascii="宋体" w:hAnsi="宋体" w:cs="宋体"/>
          <w:sz w:val="24"/>
          <w:szCs w:val="24"/>
        </w:rPr>
      </w:pPr>
    </w:p>
    <w:p>
      <w:pPr>
        <w:pStyle w:val="12"/>
        <w:rPr>
          <w:rFonts w:hint="eastAsia" w:hAnsi="宋体" w:cs="宋体"/>
          <w:szCs w:val="24"/>
        </w:rPr>
      </w:pPr>
    </w:p>
    <w:p>
      <w:pPr>
        <w:pStyle w:val="12"/>
        <w:rPr>
          <w:rFonts w:hint="eastAsia" w:hAnsi="宋体" w:cs="宋体"/>
          <w:szCs w:val="24"/>
        </w:rPr>
      </w:pPr>
    </w:p>
    <w:p>
      <w:pPr>
        <w:snapToGrid w:val="0"/>
        <w:spacing w:line="480" w:lineRule="exact"/>
        <w:ind w:firstLine="550"/>
        <w:rPr>
          <w:rFonts w:hint="eastAsia" w:ascii="宋体" w:hAnsi="宋体" w:cs="宋体"/>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pStyle w:val="12"/>
        <w:ind w:left="0" w:leftChars="0" w:firstLine="0" w:firstLineChars="0"/>
        <w:rPr>
          <w:rFonts w:hint="eastAsia" w:hAnsi="宋体" w:cs="宋体"/>
        </w:rPr>
      </w:pPr>
    </w:p>
    <w:p>
      <w:pPr>
        <w:adjustRightInd w:val="0"/>
        <w:snapToGrid w:val="0"/>
        <w:spacing w:line="360" w:lineRule="auto"/>
        <w:jc w:val="center"/>
        <w:rPr>
          <w:rFonts w:hint="eastAsia" w:ascii="宋体" w:hAnsi="宋体" w:cs="宋体"/>
          <w:b/>
          <w:bCs/>
          <w:position w:val="-3"/>
          <w:sz w:val="32"/>
          <w:szCs w:val="32"/>
        </w:rPr>
      </w:pPr>
    </w:p>
    <w:p>
      <w:pPr>
        <w:adjustRightInd w:val="0"/>
        <w:snapToGrid w:val="0"/>
        <w:spacing w:line="360" w:lineRule="auto"/>
        <w:jc w:val="center"/>
        <w:rPr>
          <w:rFonts w:hint="eastAsia" w:ascii="宋体" w:hAnsi="宋体" w:cs="宋体"/>
          <w:b/>
          <w:bCs/>
          <w:position w:val="-3"/>
          <w:sz w:val="32"/>
          <w:szCs w:val="32"/>
        </w:rPr>
      </w:pPr>
      <w:r>
        <w:rPr>
          <w:rFonts w:hint="eastAsia" w:ascii="宋体" w:hAnsi="宋体" w:cs="宋体"/>
          <w:b/>
          <w:bCs/>
          <w:position w:val="-3"/>
          <w:sz w:val="32"/>
          <w:szCs w:val="32"/>
        </w:rPr>
        <w:t>四、分项报价明细表</w:t>
      </w:r>
    </w:p>
    <w:p>
      <w:pPr>
        <w:adjustRightInd w:val="0"/>
        <w:snapToGrid w:val="0"/>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格式自拟</w:t>
      </w:r>
      <w:r>
        <w:rPr>
          <w:rFonts w:hint="eastAsia" w:ascii="宋体" w:hAnsi="宋体" w:cs="宋体"/>
          <w:sz w:val="24"/>
          <w:szCs w:val="24"/>
          <w:lang w:eastAsia="zh-CN"/>
        </w:rPr>
        <w:t>）</w:t>
      </w:r>
    </w:p>
    <w:p>
      <w:pPr>
        <w:pStyle w:val="57"/>
        <w:rPr>
          <w:rFonts w:hint="eastAsia"/>
          <w:lang w:eastAsia="zh-CN"/>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项目内容尽可能详细；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不提供分项报价表，为无效投标。</w:t>
      </w:r>
    </w:p>
    <w:p>
      <w:pPr>
        <w:pStyle w:val="12"/>
        <w:rPr>
          <w:rFonts w:hint="eastAsia" w:hAnsi="宋体" w:cs="宋体"/>
        </w:rPr>
      </w:pPr>
    </w:p>
    <w:p>
      <w:pPr>
        <w:tabs>
          <w:tab w:val="left" w:pos="520"/>
          <w:tab w:val="left" w:pos="1040"/>
        </w:tabs>
        <w:spacing w:line="360" w:lineRule="auto"/>
        <w:ind w:right="1203"/>
        <w:jc w:val="right"/>
        <w:rPr>
          <w:rFonts w:hint="eastAsia" w:ascii="宋体" w:hAnsi="宋体" w:cs="宋体"/>
          <w:szCs w:val="21"/>
        </w:rPr>
      </w:pPr>
    </w:p>
    <w:p>
      <w:pPr>
        <w:pStyle w:val="18"/>
        <w:spacing w:line="360" w:lineRule="auto"/>
        <w:rPr>
          <w:rFonts w:hint="eastAsia" w:hAnsi="宋体" w:cs="宋体"/>
          <w:sz w:val="28"/>
          <w:szCs w:val="28"/>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360" w:lineRule="auto"/>
        <w:ind w:firstLine="480" w:firstLineChars="200"/>
        <w:jc w:val="left"/>
        <w:rPr>
          <w:rFonts w:hint="eastAsia" w:ascii="宋体" w:hAnsi="宋体" w:cs="宋体"/>
        </w:rPr>
        <w:sectPr>
          <w:pgSz w:w="11920" w:h="16840"/>
          <w:pgMar w:top="1440" w:right="1134" w:bottom="1440" w:left="1134" w:header="720" w:footer="720"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hint="eastAsia" w:ascii="宋体" w:hAnsi="宋体" w:cs="宋体"/>
          <w:b/>
          <w:sz w:val="32"/>
        </w:rPr>
      </w:pPr>
      <w:r>
        <w:rPr>
          <w:rFonts w:hint="eastAsia" w:ascii="宋体" w:hAnsi="宋体" w:cs="宋体"/>
          <w:b/>
          <w:sz w:val="32"/>
        </w:rPr>
        <w:t>五、商务条款应答表</w:t>
      </w:r>
    </w:p>
    <w:p>
      <w:pPr>
        <w:spacing w:line="480" w:lineRule="exact"/>
        <w:jc w:val="center"/>
        <w:rPr>
          <w:rFonts w:hint="eastAsia" w:ascii="宋体" w:hAnsi="宋体" w:cs="宋体"/>
          <w:sz w:val="3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354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商务</w:t>
            </w:r>
            <w:r>
              <w:rPr>
                <w:rFonts w:hint="eastAsia" w:ascii="宋体" w:hAnsi="宋体" w:cs="宋体"/>
                <w:sz w:val="24"/>
              </w:rPr>
              <w:t>要求</w:t>
            </w:r>
          </w:p>
        </w:tc>
        <w:tc>
          <w:tcPr>
            <w:tcW w:w="342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商务</w:t>
            </w:r>
            <w:r>
              <w:rPr>
                <w:rFonts w:hint="eastAsia" w:ascii="宋体" w:hAnsi="宋体" w:cs="宋体"/>
                <w:sz w:val="24"/>
              </w:rPr>
              <w:t>应答</w:t>
            </w:r>
          </w:p>
        </w:tc>
        <w:tc>
          <w:tcPr>
            <w:tcW w:w="1284"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eastAsia="宋体" w:cs="宋体"/>
                <w:sz w:val="24"/>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32"/>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注：凡对商务条款有偏离的必须在此表中反应，正、负偏差均应描述。</w:t>
      </w:r>
    </w:p>
    <w:p>
      <w:pPr>
        <w:spacing w:line="480" w:lineRule="exac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jc w:val="both"/>
        <w:rPr>
          <w:rFonts w:hint="eastAsia" w:ascii="宋体" w:hAnsi="宋体" w:cs="宋体"/>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szCs w:val="24"/>
        </w:rPr>
        <w:br w:type="page"/>
      </w:r>
    </w:p>
    <w:p>
      <w:pPr>
        <w:spacing w:line="480" w:lineRule="exact"/>
        <w:jc w:val="center"/>
        <w:rPr>
          <w:rFonts w:hint="eastAsia" w:ascii="宋体" w:hAnsi="宋体" w:cs="宋体"/>
          <w:b/>
          <w:sz w:val="32"/>
        </w:rPr>
      </w:pPr>
      <w:r>
        <w:rPr>
          <w:rFonts w:hint="eastAsia" w:ascii="宋体" w:hAnsi="宋体" w:cs="宋体"/>
          <w:b/>
          <w:sz w:val="32"/>
        </w:rPr>
        <w:t>六、技术</w:t>
      </w:r>
      <w:r>
        <w:rPr>
          <w:rFonts w:hint="eastAsia" w:ascii="宋体" w:hAnsi="宋体" w:cs="宋体"/>
          <w:b/>
          <w:sz w:val="32"/>
          <w:lang w:val="en-US" w:eastAsia="zh-CN"/>
        </w:rPr>
        <w:t>服务</w:t>
      </w:r>
      <w:r>
        <w:rPr>
          <w:rFonts w:hint="eastAsia" w:ascii="宋体" w:hAnsi="宋体" w:cs="宋体"/>
          <w:b/>
          <w:sz w:val="32"/>
        </w:rPr>
        <w:t>条款应答表</w:t>
      </w:r>
    </w:p>
    <w:p>
      <w:pPr>
        <w:spacing w:line="480" w:lineRule="exact"/>
        <w:jc w:val="center"/>
        <w:rPr>
          <w:rFonts w:hint="eastAsia" w:ascii="宋体" w:hAnsi="宋体" w:cs="宋体"/>
          <w:sz w:val="32"/>
        </w:rPr>
      </w:pPr>
    </w:p>
    <w:tbl>
      <w:tblPr>
        <w:tblStyle w:val="30"/>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19"/>
        <w:gridCol w:w="2978"/>
        <w:gridCol w:w="27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1019" w:type="dxa"/>
            <w:tcBorders>
              <w:bottom w:val="single" w:color="auto" w:sz="4" w:space="0"/>
            </w:tcBorders>
            <w:noWrap w:val="0"/>
            <w:vAlign w:val="center"/>
          </w:tcPr>
          <w:p>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名称</w:t>
            </w:r>
          </w:p>
        </w:tc>
        <w:tc>
          <w:tcPr>
            <w:tcW w:w="2978"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技术服务</w:t>
            </w:r>
            <w:r>
              <w:rPr>
                <w:rFonts w:hint="eastAsia" w:ascii="宋体" w:hAnsi="宋体" w:cs="宋体"/>
                <w:sz w:val="24"/>
              </w:rPr>
              <w:t>要求</w:t>
            </w:r>
          </w:p>
        </w:tc>
        <w:tc>
          <w:tcPr>
            <w:tcW w:w="277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技术服务</w:t>
            </w:r>
            <w:r>
              <w:rPr>
                <w:rFonts w:hint="eastAsia" w:ascii="宋体" w:hAnsi="宋体" w:cs="宋体"/>
                <w:sz w:val="24"/>
              </w:rPr>
              <w:t>应答</w:t>
            </w:r>
          </w:p>
        </w:tc>
        <w:tc>
          <w:tcPr>
            <w:tcW w:w="1477"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注：凡对技术条款有偏离的必须在此表中反应，正、负偏差均应描述。</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pStyle w:val="2"/>
        <w:rPr>
          <w:rFonts w:hint="eastAsia"/>
        </w:rPr>
      </w:pPr>
    </w:p>
    <w:p>
      <w:pPr>
        <w:spacing w:line="480" w:lineRule="exact"/>
        <w:rPr>
          <w:rFonts w:hint="eastAsia" w:ascii="宋体" w:hAnsi="宋体" w:cs="宋体"/>
          <w:b/>
          <w:sz w:val="32"/>
        </w:rPr>
      </w:pPr>
    </w:p>
    <w:p>
      <w:pPr>
        <w:spacing w:line="480" w:lineRule="exact"/>
        <w:jc w:val="center"/>
        <w:rPr>
          <w:rFonts w:hint="eastAsia" w:ascii="宋体" w:hAnsi="宋体" w:cs="宋体"/>
          <w:b/>
          <w:sz w:val="32"/>
        </w:rPr>
      </w:pPr>
      <w:r>
        <w:rPr>
          <w:rFonts w:hint="eastAsia" w:ascii="宋体" w:hAnsi="宋体" w:cs="宋体"/>
          <w:b/>
          <w:sz w:val="32"/>
        </w:rPr>
        <w:t>七、资格证明文件</w:t>
      </w:r>
    </w:p>
    <w:p>
      <w:pPr>
        <w:spacing w:line="480" w:lineRule="exact"/>
        <w:jc w:val="center"/>
        <w:rPr>
          <w:rFonts w:hint="eastAsia" w:ascii="宋体" w:hAnsi="宋体" w:cs="宋体"/>
          <w:b/>
        </w:rPr>
      </w:pPr>
      <w:r>
        <w:rPr>
          <w:rFonts w:hint="eastAsia" w:ascii="宋体" w:hAnsi="宋体" w:cs="宋体"/>
          <w:b/>
          <w:sz w:val="28"/>
        </w:rPr>
        <w:t>磋商供应商情况表</w:t>
      </w:r>
    </w:p>
    <w:p>
      <w:pPr>
        <w:snapToGrid w:val="0"/>
        <w:ind w:firstLine="480" w:firstLineChars="200"/>
        <w:jc w:val="left"/>
        <w:rPr>
          <w:rFonts w:hint="eastAsia" w:ascii="宋体" w:hAnsi="宋体" w:cs="宋体"/>
          <w:sz w:val="24"/>
          <w:szCs w:val="24"/>
        </w:rPr>
      </w:pPr>
      <w:r>
        <w:rPr>
          <w:rFonts w:hint="eastAsia" w:ascii="宋体" w:hAnsi="宋体" w:cs="宋体"/>
          <w:sz w:val="24"/>
          <w:szCs w:val="24"/>
        </w:rPr>
        <w:t xml:space="preserve">                                          </w:t>
      </w:r>
    </w:p>
    <w:tbl>
      <w:tblPr>
        <w:tblStyle w:val="104"/>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2198"/>
        <w:gridCol w:w="2198"/>
        <w:gridCol w:w="2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81" w:line="240" w:lineRule="auto"/>
              <w:ind w:left="437"/>
              <w:jc w:val="left"/>
              <w:rPr>
                <w:rFonts w:hint="eastAsia" w:ascii="宋体" w:hAnsi="宋体" w:eastAsia="宋体" w:cs="宋体"/>
                <w:sz w:val="24"/>
                <w:szCs w:val="24"/>
                <w:lang w:eastAsia="en-US"/>
              </w:rPr>
            </w:pPr>
            <w:r>
              <w:rPr>
                <w:rFonts w:hint="eastAsia" w:ascii="宋体" w:hAnsi="宋体" w:eastAsia="宋体" w:cs="宋体"/>
                <w:color w:val="222222"/>
                <w:spacing w:val="10"/>
                <w:sz w:val="24"/>
                <w:szCs w:val="24"/>
                <w:lang w:eastAsia="en-US"/>
              </w:rPr>
              <w:t>供</w:t>
            </w:r>
            <w:r>
              <w:rPr>
                <w:rFonts w:hint="eastAsia" w:ascii="宋体" w:hAnsi="宋体" w:eastAsia="宋体" w:cs="宋体"/>
                <w:color w:val="222222"/>
                <w:spacing w:val="7"/>
                <w:sz w:val="24"/>
                <w:szCs w:val="24"/>
                <w:lang w:eastAsia="en-US"/>
              </w:rPr>
              <w:t>应商名称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注册资金</w:t>
            </w:r>
          </w:p>
        </w:tc>
        <w:tc>
          <w:tcPr>
            <w:tcW w:w="2401" w:type="dxa"/>
            <w:noWrap w:val="0"/>
            <w:vAlign w:val="center"/>
          </w:tcPr>
          <w:p>
            <w:pPr>
              <w:spacing w:before="178" w:line="240" w:lineRule="auto"/>
              <w:jc w:val="both"/>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78" w:line="240" w:lineRule="auto"/>
              <w:ind w:left="708"/>
              <w:jc w:val="left"/>
              <w:rPr>
                <w:rFonts w:hint="eastAsia" w:ascii="宋体" w:hAnsi="宋体" w:eastAsia="宋体" w:cs="宋体"/>
                <w:sz w:val="24"/>
                <w:szCs w:val="24"/>
                <w:lang w:eastAsia="en-US"/>
              </w:rPr>
            </w:pPr>
            <w:r>
              <w:rPr>
                <w:rFonts w:hint="eastAsia" w:ascii="宋体" w:hAnsi="宋体" w:eastAsia="宋体" w:cs="宋体"/>
                <w:color w:val="222222"/>
                <w:spacing w:val="6"/>
                <w:sz w:val="24"/>
                <w:szCs w:val="24"/>
                <w:lang w:eastAsia="en-US"/>
              </w:rPr>
              <w:t>注册地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注册时间</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0"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法</w:t>
            </w:r>
            <w:r>
              <w:rPr>
                <w:rFonts w:hint="eastAsia" w:ascii="宋体" w:hAnsi="宋体" w:eastAsia="宋体" w:cs="宋体"/>
                <w:color w:val="222222"/>
                <w:spacing w:val="7"/>
                <w:sz w:val="24"/>
                <w:szCs w:val="24"/>
                <w:lang w:eastAsia="en-US"/>
              </w:rPr>
              <w:t>定代表人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1"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技</w:t>
            </w:r>
            <w:r>
              <w:rPr>
                <w:rFonts w:hint="eastAsia" w:ascii="宋体" w:hAnsi="宋体" w:eastAsia="宋体" w:cs="宋体"/>
                <w:color w:val="222222"/>
                <w:spacing w:val="7"/>
                <w:sz w:val="24"/>
                <w:szCs w:val="24"/>
                <w:lang w:eastAsia="en-US"/>
              </w:rPr>
              <w:t>术负责人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default" w:ascii="宋体" w:hAnsi="宋体" w:eastAsia="宋体" w:cs="宋体"/>
                <w:color w:val="222222"/>
                <w:spacing w:val="6"/>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200" w:type="dxa"/>
            <w:noWrap w:val="0"/>
            <w:vAlign w:val="center"/>
          </w:tcPr>
          <w:p>
            <w:pPr>
              <w:spacing w:before="180" w:line="240" w:lineRule="auto"/>
              <w:ind w:left="573"/>
              <w:jc w:val="left"/>
              <w:rPr>
                <w:rFonts w:hint="eastAsia" w:ascii="宋体" w:hAnsi="宋体" w:eastAsia="宋体" w:cs="宋体"/>
                <w:sz w:val="24"/>
                <w:szCs w:val="24"/>
                <w:lang w:eastAsia="en-US"/>
              </w:rPr>
            </w:pPr>
            <w:r>
              <w:rPr>
                <w:rFonts w:hint="eastAsia" w:ascii="宋体" w:hAnsi="宋体" w:eastAsia="宋体" w:cs="宋体"/>
                <w:color w:val="222222"/>
                <w:spacing w:val="8"/>
                <w:sz w:val="24"/>
                <w:szCs w:val="24"/>
                <w:lang w:eastAsia="en-US"/>
              </w:rPr>
              <w:t>开</w:t>
            </w:r>
            <w:r>
              <w:rPr>
                <w:rFonts w:hint="eastAsia" w:ascii="宋体" w:hAnsi="宋体" w:eastAsia="宋体" w:cs="宋体"/>
                <w:color w:val="222222"/>
                <w:spacing w:val="6"/>
                <w:sz w:val="24"/>
                <w:szCs w:val="24"/>
                <w:lang w:eastAsia="en-US"/>
              </w:rPr>
              <w:t>户银行</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2200" w:type="dxa"/>
            <w:noWrap w:val="0"/>
            <w:vAlign w:val="center"/>
          </w:tcPr>
          <w:p>
            <w:pPr>
              <w:spacing w:before="181" w:line="240" w:lineRule="auto"/>
              <w:ind w:left="304"/>
              <w:jc w:val="left"/>
              <w:rPr>
                <w:rFonts w:hint="eastAsia" w:ascii="宋体" w:hAnsi="宋体" w:eastAsia="宋体" w:cs="宋体"/>
                <w:sz w:val="24"/>
                <w:szCs w:val="24"/>
                <w:lang w:eastAsia="en-US"/>
              </w:rPr>
            </w:pPr>
            <w:r>
              <w:rPr>
                <w:rFonts w:hint="eastAsia" w:ascii="宋体" w:hAnsi="宋体" w:eastAsia="宋体" w:cs="宋体"/>
                <w:color w:val="222222"/>
                <w:spacing w:val="11"/>
                <w:sz w:val="24"/>
                <w:szCs w:val="24"/>
                <w:lang w:eastAsia="en-US"/>
              </w:rPr>
              <w:t>开</w:t>
            </w:r>
            <w:r>
              <w:rPr>
                <w:rFonts w:hint="eastAsia" w:ascii="宋体" w:hAnsi="宋体" w:eastAsia="宋体" w:cs="宋体"/>
                <w:color w:val="222222"/>
                <w:spacing w:val="7"/>
                <w:sz w:val="24"/>
                <w:szCs w:val="24"/>
                <w:lang w:eastAsia="en-US"/>
              </w:rPr>
              <w:t>户银行账号</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jc w:val="center"/>
        </w:trPr>
        <w:tc>
          <w:tcPr>
            <w:tcW w:w="8997" w:type="dxa"/>
            <w:gridSpan w:val="4"/>
            <w:noWrap w:val="0"/>
            <w:vAlign w:val="top"/>
          </w:tcPr>
          <w:p>
            <w:pPr>
              <w:spacing w:before="182" w:line="227" w:lineRule="auto"/>
              <w:ind w:left="120"/>
              <w:rPr>
                <w:rFonts w:hint="eastAsia" w:ascii="宋体" w:hAnsi="宋体" w:eastAsia="宋体" w:cs="宋体"/>
                <w:sz w:val="26"/>
                <w:szCs w:val="26"/>
                <w:lang w:eastAsia="en-US"/>
              </w:rPr>
            </w:pPr>
            <w:r>
              <w:rPr>
                <w:rFonts w:hint="eastAsia" w:ascii="宋体" w:hAnsi="宋体" w:eastAsia="宋体" w:cs="宋体"/>
                <w:color w:val="222222"/>
                <w:spacing w:val="5"/>
                <w:sz w:val="24"/>
                <w:szCs w:val="24"/>
                <w:lang w:eastAsia="en-US"/>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997" w:type="dxa"/>
            <w:gridSpan w:val="4"/>
            <w:noWrap w:val="0"/>
            <w:vAlign w:val="top"/>
          </w:tcPr>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企业资质：</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证书号：</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类型：</w:t>
            </w:r>
          </w:p>
          <w:p>
            <w:pPr>
              <w:keepNext w:val="0"/>
              <w:keepLines w:val="0"/>
              <w:widowControl/>
              <w:suppressLineNumbers w:val="0"/>
              <w:spacing w:before="182" w:line="227" w:lineRule="auto"/>
              <w:ind w:left="120" w:firstLine="500" w:firstLineChars="200"/>
              <w:jc w:val="left"/>
              <w:rPr>
                <w:rFonts w:hint="eastAsia" w:ascii="宋体" w:hAnsi="宋体" w:eastAsia="宋体" w:cs="宋体"/>
                <w:sz w:val="26"/>
                <w:szCs w:val="26"/>
                <w:lang w:eastAsia="en-US"/>
              </w:rPr>
            </w:pPr>
            <w:r>
              <w:rPr>
                <w:rFonts w:hint="eastAsia" w:ascii="宋体" w:hAnsi="宋体" w:eastAsia="宋体" w:cs="宋体"/>
                <w:color w:val="222222"/>
                <w:spacing w:val="5"/>
                <w:kern w:val="2"/>
                <w:sz w:val="24"/>
                <w:szCs w:val="24"/>
                <w:lang w:val="en-US" w:eastAsia="en-US" w:bidi="ar"/>
              </w:rPr>
              <w:t>证书号：</w:t>
            </w:r>
          </w:p>
        </w:tc>
      </w:tr>
    </w:tbl>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right="-23" w:firstLine="560" w:firstLineChars="200"/>
        <w:jc w:val="center"/>
        <w:rPr>
          <w:rFonts w:hint="eastAsia" w:ascii="宋体" w:hAnsi="宋体" w:cs="宋体"/>
          <w:kern w:val="0"/>
          <w:sz w:val="28"/>
          <w:szCs w:val="28"/>
          <w:lang w:val="zh-CN"/>
        </w:rPr>
      </w:pPr>
      <w:r>
        <w:rPr>
          <w:rFonts w:hint="eastAsia" w:ascii="宋体" w:hAnsi="宋体" w:cs="宋体"/>
          <w:kern w:val="0"/>
          <w:sz w:val="28"/>
          <w:szCs w:val="28"/>
        </w:rPr>
        <w:t>资格证明文件</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eastAsia="Adobe 宋体 Std L"/>
          <w:snapToGrid w:val="0"/>
          <w:sz w:val="24"/>
          <w:szCs w:val="24"/>
        </w:rPr>
        <w:t>供应商</w:t>
      </w:r>
      <w:r>
        <w:rPr>
          <w:rFonts w:eastAsia="Adobe 宋体 Std L"/>
          <w:snapToGrid w:val="0"/>
          <w:sz w:val="24"/>
          <w:szCs w:val="24"/>
        </w:rPr>
        <w:t>有效的营业执照或事业单位法人证书或执业许可证或自然人的身份证明</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.提供委托代表投标时的法定代表人授权书；</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w:t>
      </w:r>
      <w:r>
        <w:rPr>
          <w:rFonts w:eastAsia="Adobe 宋体 Std L"/>
          <w:snapToGrid w:val="0"/>
          <w:sz w:val="24"/>
          <w:szCs w:val="24"/>
        </w:rPr>
        <w:t>提供参加政府采购依法缴纳税收和社会保障资</w:t>
      </w:r>
      <w:r>
        <w:rPr>
          <w:rFonts w:hint="eastAsia" w:eastAsia="Adobe 宋体 Std L"/>
          <w:snapToGrid w:val="0"/>
          <w:sz w:val="24"/>
          <w:szCs w:val="24"/>
        </w:rPr>
        <w:t>金的相关材料。（</w:t>
      </w:r>
      <w:r>
        <w:rPr>
          <w:rFonts w:eastAsia="Adobe 宋体 Std L"/>
          <w:snapToGrid w:val="0"/>
          <w:sz w:val="24"/>
          <w:szCs w:val="24"/>
        </w:rPr>
        <w:t>1.</w:t>
      </w:r>
      <w:r>
        <w:rPr>
          <w:rFonts w:hint="eastAsia" w:eastAsia="Adobe 宋体 Std L"/>
          <w:snapToGrid w:val="0"/>
          <w:sz w:val="24"/>
          <w:szCs w:val="24"/>
        </w:rPr>
        <w:t>提供递交响应文件，截止之日前一年内的良好缴纳税收的相关凭据。（以税务机关提供的纳税凭据或银行入账单为准。）</w:t>
      </w:r>
      <w:r>
        <w:rPr>
          <w:rFonts w:eastAsia="Adobe 宋体 Std L"/>
          <w:snapToGrid w:val="0"/>
          <w:sz w:val="24"/>
          <w:szCs w:val="24"/>
        </w:rPr>
        <w:t>2.</w:t>
      </w:r>
      <w:r>
        <w:rPr>
          <w:rFonts w:hint="eastAsia" w:eastAsia="Adobe 宋体 Std L"/>
          <w:snapToGrid w:val="0"/>
          <w:sz w:val="24"/>
          <w:szCs w:val="24"/>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r>
        <w:rPr>
          <w:rFonts w:hint="eastAsia" w:ascii="宋体" w:hAnsi="宋体" w:cs="宋体"/>
          <w:sz w:val="24"/>
          <w:szCs w:val="24"/>
        </w:rPr>
        <w:t>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w:t>
      </w:r>
      <w:r>
        <w:rPr>
          <w:rFonts w:eastAsia="Adobe 宋体 Std L"/>
          <w:snapToGrid w:val="0"/>
          <w:sz w:val="24"/>
          <w:szCs w:val="24"/>
        </w:rPr>
        <w:t>具备良好的商业信誉和健全的财务会计制度</w:t>
      </w:r>
      <w:r>
        <w:rPr>
          <w:rFonts w:hint="eastAsia" w:eastAsia="Adobe 宋体 Std L"/>
          <w:snapToGrid w:val="0"/>
          <w:sz w:val="24"/>
          <w:szCs w:val="24"/>
        </w:rPr>
        <w:t>的相关材料。（</w:t>
      </w:r>
      <w:r>
        <w:rPr>
          <w:rFonts w:eastAsia="Adobe 宋体 Std L"/>
          <w:snapToGrid w:val="0"/>
          <w:sz w:val="24"/>
          <w:szCs w:val="24"/>
        </w:rPr>
        <w:t>202</w:t>
      </w:r>
      <w:r>
        <w:rPr>
          <w:rFonts w:hint="eastAsia" w:eastAsia="Adobe 宋体 Std L"/>
          <w:snapToGrid w:val="0"/>
          <w:sz w:val="24"/>
          <w:szCs w:val="24"/>
          <w:lang w:val="en-US" w:eastAsia="zh-CN"/>
        </w:rPr>
        <w:t>4</w:t>
      </w:r>
      <w:r>
        <w:rPr>
          <w:rFonts w:hint="eastAsia" w:eastAsia="Adobe 宋体 Std L"/>
          <w:snapToGrid w:val="0"/>
          <w:sz w:val="24"/>
          <w:szCs w:val="24"/>
        </w:rPr>
        <w:t>年度经会计师事务所出具的财务审计报告或其基本开户银行出具的近一年内的银行资信证明或相关承诺。）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rPr>
      </w:pPr>
      <w:r>
        <w:rPr>
          <w:rFonts w:hint="eastAsia" w:ascii="宋体" w:hAnsi="宋体" w:cs="宋体"/>
          <w:kern w:val="0"/>
          <w:sz w:val="24"/>
          <w:szCs w:val="24"/>
        </w:rPr>
        <w:t>5.提供“具有履行本合同所必需的设备和专业技术能力”的书面声明（格式自拟）；</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6</w:t>
      </w:r>
      <w:r>
        <w:rPr>
          <w:rFonts w:hint="eastAsia" w:ascii="宋体" w:hAnsi="宋体" w:cs="宋体"/>
          <w:kern w:val="0"/>
          <w:sz w:val="24"/>
          <w:szCs w:val="24"/>
          <w:lang w:val="zh-CN"/>
        </w:rPr>
        <w:t>.提供参加政府采购活动前3年内在经营活动中没有重大违法记录的书面声明（格式自拟）；（重大违法记录，是指供应商因违法经营受到刑事处罚或者责令停产停业、吊销许可证或者执照、较大数额罚款等行政处罚）；</w:t>
      </w:r>
    </w:p>
    <w:p>
      <w:pPr>
        <w:spacing w:line="360" w:lineRule="auto"/>
        <w:ind w:right="-23" w:firstLine="480" w:firstLineChars="200"/>
        <w:jc w:val="both"/>
        <w:rPr>
          <w:rFonts w:hint="eastAsia"/>
        </w:rPr>
      </w:pPr>
      <w:r>
        <w:rPr>
          <w:rFonts w:hint="eastAsia" w:ascii="宋体" w:hAnsi="宋体" w:cs="宋体"/>
          <w:kern w:val="0"/>
          <w:sz w:val="24"/>
          <w:szCs w:val="24"/>
        </w:rPr>
        <w:t>7.供应商未被列入失信被执行人、重大税收违法失信主体、政府采购严重违法失信行为记录名单（通过“信用中国”（www.creditchina.gov.cn）</w:t>
      </w:r>
      <w:r>
        <w:rPr>
          <w:rFonts w:hint="eastAsia" w:ascii="宋体" w:hAnsi="宋体" w:cs="宋体"/>
          <w:kern w:val="0"/>
          <w:sz w:val="24"/>
          <w:szCs w:val="24"/>
          <w:lang w:val="en-US" w:eastAsia="zh-CN"/>
        </w:rPr>
        <w:t>或</w:t>
      </w:r>
      <w:r>
        <w:rPr>
          <w:rFonts w:hint="eastAsia" w:ascii="宋体" w:hAnsi="宋体" w:cs="宋体"/>
          <w:kern w:val="0"/>
          <w:sz w:val="24"/>
          <w:szCs w:val="24"/>
        </w:rPr>
        <w:t>中国政府采购网（www.ccgp.gov.cn）查询相关信用记录的网站截图）；</w:t>
      </w:r>
      <w:r>
        <w:rPr>
          <w:rFonts w:hint="eastAsia" w:ascii="宋体" w:hAnsi="宋体" w:cs="宋体"/>
          <w:sz w:val="24"/>
          <w:szCs w:val="24"/>
        </w:rPr>
        <w:t>（采购人或代理机构将在截止递交响应文件前一天至递交响应文件截止时间后一小时期间查询供应商的信用记录，供应商存在不良信用记录的，其响应将按无效处理）</w:t>
      </w:r>
      <w:r>
        <w:rPr>
          <w:rFonts w:hint="eastAsia" w:ascii="宋体" w:hAnsi="宋体" w:cs="宋体"/>
          <w:kern w:val="0"/>
          <w:sz w:val="24"/>
          <w:szCs w:val="24"/>
          <w:lang w:val="zh-CN"/>
        </w:rPr>
        <w:t>；</w:t>
      </w:r>
    </w:p>
    <w:p>
      <w:pPr>
        <w:spacing w:line="360" w:lineRule="auto"/>
        <w:ind w:right="-23" w:firstLine="481" w:firstLineChars="200"/>
        <w:jc w:val="both"/>
        <w:rPr>
          <w:rFonts w:hint="eastAsia" w:ascii="宋体" w:hAnsi="宋体" w:cs="宋体"/>
          <w:b/>
          <w:bCs/>
          <w:kern w:val="0"/>
          <w:sz w:val="28"/>
          <w:szCs w:val="28"/>
          <w:lang w:val="zh-CN"/>
        </w:rPr>
      </w:pPr>
      <w:r>
        <w:rPr>
          <w:rFonts w:hint="eastAsia" w:ascii="宋体" w:hAnsi="宋体" w:cs="宋体"/>
          <w:b/>
          <w:bCs/>
          <w:kern w:val="0"/>
          <w:sz w:val="24"/>
          <w:szCs w:val="24"/>
          <w:lang w:val="zh-CN"/>
        </w:rPr>
        <w:t>以上文件除特别标明要求提供原件以外，均要求提供加盖供应商公章的复印件，未提供或提供的文件过期失效的，均为无效投标（已实行三证合一的企业，不需要提供税务登记证和企业组织机构代码证）。</w:t>
      </w:r>
    </w:p>
    <w:p>
      <w:pPr>
        <w:spacing w:line="360" w:lineRule="auto"/>
        <w:jc w:val="both"/>
        <w:rPr>
          <w:rFonts w:hint="eastAsia" w:ascii="宋体" w:hAnsi="宋体" w:cs="宋体"/>
          <w:b/>
          <w:bCs/>
        </w:rPr>
        <w:sectPr>
          <w:pgSz w:w="11920" w:h="16840"/>
          <w:pgMar w:top="1440" w:right="1800" w:bottom="1440" w:left="1800" w:header="1134" w:footer="928" w:gutter="0"/>
          <w:pgNumType w:fmt="decimal"/>
          <w:cols w:space="720" w:num="1"/>
          <w:docGrid w:linePitch="286" w:charSpace="0"/>
        </w:sectPr>
      </w:pPr>
    </w:p>
    <w:p>
      <w:pPr>
        <w:numPr>
          <w:ilvl w:val="0"/>
          <w:numId w:val="0"/>
        </w:numPr>
        <w:tabs>
          <w:tab w:val="left" w:pos="535"/>
        </w:tabs>
        <w:snapToGrid w:val="0"/>
        <w:spacing w:line="480" w:lineRule="exact"/>
        <w:jc w:val="center"/>
        <w:rPr>
          <w:rFonts w:hint="eastAsia"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项目方案</w:t>
      </w:r>
    </w:p>
    <w:p>
      <w:pPr>
        <w:pStyle w:val="26"/>
        <w:rPr>
          <w:rFonts w:hint="eastAsia" w:ascii="宋体" w:hAnsi="宋体" w:cs="宋体"/>
        </w:rPr>
      </w:pPr>
    </w:p>
    <w:p>
      <w:pPr>
        <w:snapToGrid w:val="0"/>
        <w:spacing w:line="480" w:lineRule="exact"/>
        <w:ind w:firstLine="560" w:firstLineChars="200"/>
        <w:jc w:val="both"/>
        <w:rPr>
          <w:rFonts w:hint="eastAsia" w:ascii="宋体" w:hAnsi="宋体" w:cs="宋体"/>
          <w:sz w:val="28"/>
          <w:szCs w:val="28"/>
        </w:rPr>
      </w:pPr>
      <w:r>
        <w:rPr>
          <w:rFonts w:hint="eastAsia" w:ascii="宋体" w:hAnsi="宋体" w:cs="宋体"/>
          <w:sz w:val="28"/>
          <w:szCs w:val="28"/>
        </w:rPr>
        <w:t>格式自定，按照磋商文件《采购需求》各条款的要求，结合《评审原则和方法》编制磋商响应方案。</w:t>
      </w:r>
    </w:p>
    <w:p>
      <w:pPr>
        <w:pStyle w:val="57"/>
        <w:rPr>
          <w:rFonts w:hint="eastAsia"/>
        </w:rPr>
      </w:pPr>
    </w:p>
    <w:p>
      <w:pPr>
        <w:pStyle w:val="57"/>
        <w:numPr>
          <w:ilvl w:val="0"/>
          <w:numId w:val="0"/>
        </w:numPr>
        <w:rPr>
          <w:rFonts w:hint="default" w:ascii="宋体" w:hAnsi="宋体" w:cs="宋体"/>
          <w:b/>
          <w:sz w:val="28"/>
          <w:szCs w:val="28"/>
          <w:lang w:val="en-US" w:eastAsia="zh-CN"/>
        </w:rPr>
      </w:pPr>
    </w:p>
    <w:p>
      <w:pPr>
        <w:snapToGrid w:val="0"/>
        <w:spacing w:line="480" w:lineRule="exact"/>
        <w:jc w:val="center"/>
        <w:rPr>
          <w:rFonts w:hint="eastAsia" w:ascii="宋体" w:hAnsi="宋体" w:cs="宋体"/>
          <w:b/>
          <w:sz w:val="28"/>
          <w:szCs w:val="28"/>
        </w:rPr>
      </w:pPr>
    </w:p>
    <w:p>
      <w:pPr>
        <w:snapToGrid w:val="0"/>
        <w:spacing w:line="480" w:lineRule="exact"/>
        <w:jc w:val="center"/>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九</w:t>
      </w:r>
      <w:r>
        <w:rPr>
          <w:rFonts w:hint="eastAsia" w:ascii="宋体" w:hAnsi="宋体" w:cs="宋体"/>
          <w:b/>
          <w:bCs/>
          <w:sz w:val="32"/>
          <w:szCs w:val="32"/>
        </w:rPr>
        <w:t>、其他内容（格式自拟）</w:t>
      </w:r>
    </w:p>
    <w:p>
      <w:pPr>
        <w:spacing w:line="480" w:lineRule="exact"/>
        <w:rPr>
          <w:rFonts w:hint="eastAsia" w:ascii="宋体" w:hAnsi="宋体" w:cs="宋体"/>
          <w:sz w:val="24"/>
          <w:szCs w:val="24"/>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十</w:t>
      </w:r>
      <w:r>
        <w:rPr>
          <w:rFonts w:hint="eastAsia" w:ascii="宋体" w:hAnsi="宋体" w:cs="宋体"/>
          <w:b/>
          <w:bCs/>
          <w:sz w:val="32"/>
          <w:szCs w:val="32"/>
        </w:rPr>
        <w:t>、中小企业声明函</w:t>
      </w:r>
    </w:p>
    <w:p>
      <w:pPr>
        <w:snapToGrid w:val="0"/>
        <w:spacing w:line="480" w:lineRule="exact"/>
        <w:jc w:val="center"/>
        <w:rPr>
          <w:rFonts w:hint="eastAsia" w:ascii="宋体" w:hAnsi="宋体" w:cs="宋体"/>
          <w:b/>
          <w:sz w:val="28"/>
          <w:szCs w:val="28"/>
        </w:rPr>
      </w:pPr>
    </w:p>
    <w:p>
      <w:pPr>
        <w:pStyle w:val="18"/>
        <w:tabs>
          <w:tab w:val="left" w:pos="5580"/>
        </w:tabs>
        <w:spacing w:line="360" w:lineRule="auto"/>
        <w:ind w:left="2" w:leftChars="1" w:firstLine="480" w:firstLineChars="200"/>
        <w:rPr>
          <w:rFonts w:hint="eastAsia" w:hAnsi="宋体" w:cs="宋体"/>
          <w:sz w:val="24"/>
        </w:rPr>
      </w:pPr>
      <w:r>
        <w:rPr>
          <w:rFonts w:hint="eastAsia" w:hAnsi="宋体" w:cs="宋体"/>
          <w:sz w:val="24"/>
        </w:rPr>
        <w:t>本公司（联合体）郑重声明，根据《政府采购促进中小企业发展管理办法》（财库﹝2020﹞46 号）的规定，本公司（联合体）参加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1.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2.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493" w:leftChars="235" w:firstLine="480" w:firstLineChars="200"/>
        <w:rPr>
          <w:rFonts w:hint="eastAsia" w:hAnsi="宋体" w:cs="宋体"/>
          <w:sz w:val="24"/>
        </w:rPr>
      </w:pPr>
      <w:r>
        <w:rPr>
          <w:rFonts w:hint="eastAsia" w:hAnsi="宋体" w:cs="宋体"/>
          <w:sz w:val="24"/>
        </w:rPr>
        <w:t>……</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以上企业，不属于大企业的分支机构，不存在控股股东为大企业的情形，也不存在与大企业的负责人为同一人的情形。</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本企业对上述声明内容的真实性负责。如有虚假，将依法承担相应责任。</w:t>
      </w:r>
    </w:p>
    <w:p>
      <w:pPr>
        <w:pStyle w:val="18"/>
        <w:tabs>
          <w:tab w:val="left" w:pos="5580"/>
        </w:tabs>
        <w:spacing w:line="360" w:lineRule="auto"/>
        <w:ind w:left="542" w:leftChars="7" w:hanging="527"/>
        <w:rPr>
          <w:rFonts w:hint="eastAsia" w:hAnsi="宋体" w:cs="宋体"/>
          <w:sz w:val="24"/>
        </w:rPr>
      </w:pPr>
    </w:p>
    <w:p>
      <w:pPr>
        <w:pStyle w:val="18"/>
        <w:tabs>
          <w:tab w:val="left" w:pos="5580"/>
        </w:tabs>
        <w:spacing w:line="360" w:lineRule="auto"/>
        <w:ind w:left="540" w:leftChars="257" w:firstLine="4680" w:firstLineChars="1950"/>
        <w:rPr>
          <w:rFonts w:hint="eastAsia" w:hAnsi="宋体" w:cs="宋体"/>
          <w:sz w:val="24"/>
        </w:rPr>
      </w:pP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企业名称（盖章）：</w:t>
      </w: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日期：</w:t>
      </w:r>
    </w:p>
    <w:p>
      <w:pPr>
        <w:pStyle w:val="18"/>
        <w:tabs>
          <w:tab w:val="left" w:pos="5580"/>
        </w:tabs>
        <w:spacing w:line="240" w:lineRule="atLeast"/>
        <w:ind w:left="542" w:leftChars="7" w:hanging="527"/>
        <w:rPr>
          <w:rFonts w:hint="eastAsia" w:hAnsi="宋体" w:cs="宋体"/>
          <w:sz w:val="24"/>
        </w:rPr>
      </w:pPr>
    </w:p>
    <w:p>
      <w:pPr>
        <w:pStyle w:val="12"/>
        <w:rPr>
          <w:rFonts w:hint="eastAsia" w:hAnsi="宋体" w:cs="宋体"/>
          <w:sz w:val="12"/>
          <w:szCs w:val="12"/>
        </w:rPr>
      </w:pP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注1：从业人员、营业收入、资产总额填报上一年度数据，无上一年度数据的新成立企业可不填报。</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注2：非小型、微型企业无需提供</w:t>
      </w:r>
      <w:r>
        <w:rPr>
          <w:rFonts w:hint="eastAsia" w:ascii="宋体" w:hAnsi="宋体" w:cs="宋体"/>
          <w:sz w:val="24"/>
        </w:rPr>
        <w:t>。</w:t>
      </w:r>
    </w:p>
    <w:p>
      <w:pPr>
        <w:spacing w:before="100" w:beforeAutospacing="1" w:after="100" w:afterAutospacing="1" w:line="360" w:lineRule="auto"/>
        <w:ind w:right="-23"/>
        <w:jc w:val="both"/>
        <w:rPr>
          <w:rFonts w:hint="eastAsia" w:ascii="宋体" w:hAnsi="宋体" w:cs="宋体"/>
          <w:sz w:val="28"/>
          <w:szCs w:val="28"/>
        </w:rPr>
      </w:pPr>
    </w:p>
    <w:p>
      <w:pPr>
        <w:spacing w:before="100" w:beforeAutospacing="1" w:after="100" w:afterAutospacing="1" w:line="24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eastAsia="zh-CN"/>
        </w:rPr>
        <w:t>一</w:t>
      </w:r>
      <w:r>
        <w:rPr>
          <w:rFonts w:hint="eastAsia" w:ascii="宋体" w:hAnsi="宋体" w:cs="宋体"/>
          <w:b/>
          <w:bCs/>
          <w:sz w:val="32"/>
          <w:szCs w:val="32"/>
        </w:rPr>
        <w:t>、监狱企业证明文件</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6"/>
        <w:ind w:firstLine="505" w:firstLineChars="200"/>
        <w:jc w:val="both"/>
        <w:rPr>
          <w:rFonts w:hint="eastAsia" w:ascii="宋体" w:hAnsi="宋体" w:cs="宋体"/>
          <w:sz w:val="28"/>
          <w:szCs w:val="28"/>
        </w:rPr>
      </w:pPr>
      <w:r>
        <w:rPr>
          <w:rFonts w:hint="eastAsia" w:ascii="宋体" w:hAnsi="宋体" w:cs="宋体"/>
          <w:b/>
          <w:spacing w:val="6"/>
          <w:kern w:val="2"/>
          <w:szCs w:val="24"/>
        </w:rPr>
        <w:t>1.非监狱企业无需提供</w:t>
      </w: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pStyle w:val="4"/>
        <w:numPr>
          <w:ilvl w:val="0"/>
          <w:numId w:val="0"/>
        </w:numPr>
        <w:rPr>
          <w:rFonts w:hint="eastAsia" w:ascii="宋体" w:hAnsi="宋体" w:cs="宋体"/>
        </w:rPr>
      </w:pPr>
    </w:p>
    <w:p>
      <w:pPr>
        <w:rPr>
          <w:rFonts w:hint="eastAsia" w:ascii="宋体" w:hAnsi="宋体" w:cs="宋体"/>
          <w:sz w:val="28"/>
          <w:szCs w:val="28"/>
        </w:rPr>
      </w:pPr>
    </w:p>
    <w:p>
      <w:pPr>
        <w:spacing w:before="100" w:beforeAutospacing="1" w:after="100" w:afterAutospacing="1" w:line="360" w:lineRule="auto"/>
        <w:ind w:right="-23"/>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val="en-US" w:eastAsia="zh-CN"/>
        </w:rPr>
        <w:t>二</w:t>
      </w:r>
      <w:r>
        <w:rPr>
          <w:rFonts w:hint="eastAsia" w:ascii="宋体" w:hAnsi="宋体" w:cs="宋体"/>
          <w:b/>
          <w:bCs/>
          <w:sz w:val="32"/>
          <w:szCs w:val="32"/>
        </w:rPr>
        <w:t>、残疾人福利性单位声明函</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单位名称（加盖公章）：</w:t>
      </w: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日 期：</w:t>
      </w:r>
    </w:p>
    <w:p>
      <w:pPr>
        <w:pStyle w:val="12"/>
        <w:spacing w:line="360" w:lineRule="auto"/>
        <w:rPr>
          <w:rFonts w:hint="eastAsia" w:hAnsi="宋体" w:cs="宋体"/>
          <w:bCs/>
          <w:sz w:val="28"/>
          <w:szCs w:val="28"/>
        </w:rPr>
      </w:pPr>
    </w:p>
    <w:p>
      <w:pPr>
        <w:pStyle w:val="12"/>
        <w:spacing w:line="360" w:lineRule="auto"/>
        <w:rPr>
          <w:rFonts w:hint="eastAsia" w:hAnsi="宋体" w:cs="宋体"/>
        </w:rPr>
      </w:pPr>
    </w:p>
    <w:p>
      <w:pPr>
        <w:widowControl/>
        <w:numPr>
          <w:ilvl w:val="0"/>
          <w:numId w:val="12"/>
        </w:numPr>
        <w:spacing w:line="360" w:lineRule="auto"/>
        <w:ind w:firstLine="504" w:firstLineChars="200"/>
        <w:jc w:val="left"/>
        <w:rPr>
          <w:rFonts w:hint="eastAsia"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pStyle w:val="28"/>
        <w:ind w:firstLine="497" w:firstLineChars="200"/>
        <w:rPr>
          <w:rFonts w:hint="eastAsia" w:cs="宋体"/>
        </w:rPr>
      </w:pPr>
      <w:r>
        <w:rPr>
          <w:rFonts w:hint="eastAsia" w:cs="宋体"/>
        </w:rPr>
        <w:t>2.非残疾人福利性单位无需提供。</w:t>
      </w:r>
    </w:p>
    <w:p>
      <w:pPr>
        <w:spacing w:line="360" w:lineRule="auto"/>
        <w:rPr>
          <w:rFonts w:hint="eastAsia" w:ascii="宋体" w:hAnsi="宋体" w:cs="宋体"/>
        </w:rPr>
        <w:sectPr>
          <w:pgSz w:w="11920" w:h="16840"/>
          <w:pgMar w:top="1440" w:right="1800" w:bottom="1440" w:left="1800" w:header="1134" w:footer="928" w:gutter="0"/>
          <w:pgNumType w:fmt="decimal"/>
          <w:cols w:space="720" w:num="1"/>
          <w:docGrid w:linePitch="286" w:charSpace="0"/>
        </w:sectPr>
      </w:pPr>
    </w:p>
    <w:p>
      <w:pPr>
        <w:pStyle w:val="26"/>
        <w:rPr>
          <w:rFonts w:hint="eastAsia" w:ascii="宋体" w:hAnsi="宋体" w:cs="宋体"/>
          <w:b/>
          <w:sz w:val="32"/>
          <w:u w:val="single"/>
        </w:rPr>
      </w:pPr>
      <w:r>
        <w:rPr>
          <w:rFonts w:hint="eastAsia" w:ascii="宋体" w:hAnsi="宋体" w:cs="宋体"/>
          <w:b/>
          <w:sz w:val="32"/>
        </w:rPr>
        <w:t>附件一：报价函</w:t>
      </w:r>
      <w:r>
        <w:rPr>
          <w:rFonts w:hint="eastAsia" w:ascii="宋体" w:hAnsi="宋体" w:cs="宋体"/>
          <w:b/>
          <w:sz w:val="32"/>
          <w:u w:val="single"/>
        </w:rPr>
        <w:t>（最后报价时提交）</w:t>
      </w:r>
    </w:p>
    <w:p>
      <w:pPr>
        <w:snapToGrid w:val="0"/>
        <w:spacing w:line="480" w:lineRule="exact"/>
        <w:rPr>
          <w:rFonts w:hint="eastAsia" w:ascii="宋体" w:hAnsi="宋体" w:cs="宋体"/>
          <w:sz w:val="28"/>
        </w:rPr>
      </w:pPr>
    </w:p>
    <w:p>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内蒙古自治区通信管理局</w:t>
      </w:r>
    </w:p>
    <w:p>
      <w:pPr>
        <w:snapToGrid w:val="0"/>
        <w:spacing w:line="480" w:lineRule="exact"/>
        <w:ind w:firstLine="504" w:firstLineChars="200"/>
        <w:rPr>
          <w:rFonts w:hint="eastAsia" w:ascii="宋体" w:hAnsi="宋体" w:cs="宋体"/>
          <w:sz w:val="24"/>
          <w:szCs w:val="24"/>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w:t>
      </w:r>
      <w:r>
        <w:rPr>
          <w:rFonts w:hint="eastAsia" w:ascii="宋体" w:hAnsi="宋体" w:cs="宋体"/>
          <w:b/>
          <w:spacing w:val="20"/>
          <w:sz w:val="24"/>
          <w:szCs w:val="24"/>
        </w:rPr>
        <w:t>竞争性磋商文件</w:t>
      </w:r>
      <w:r>
        <w:rPr>
          <w:rFonts w:hint="eastAsia" w:ascii="宋体" w:hAnsi="宋体" w:cs="宋体"/>
          <w:spacing w:val="20"/>
          <w:sz w:val="24"/>
          <w:szCs w:val="24"/>
        </w:rPr>
        <w:t>的规定提供的</w:t>
      </w:r>
      <w:r>
        <w:rPr>
          <w:rFonts w:hint="eastAsia" w:ascii="宋体" w:hAnsi="宋体" w:cs="宋体"/>
          <w:b/>
          <w:spacing w:val="20"/>
          <w:sz w:val="24"/>
          <w:szCs w:val="24"/>
        </w:rPr>
        <w:t>最后总价</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（用文字和数字表示的总价）的货物或服务。并作出如下承诺：</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我方保证忠实地执行双方所签的合同，并承担合同规定的责任和义务。</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4、我方提交的响应文件及报价自提交日期起</w:t>
      </w:r>
      <w:r>
        <w:rPr>
          <w:rFonts w:hint="eastAsia" w:ascii="宋体" w:hAnsi="宋体" w:cs="宋体"/>
          <w:sz w:val="24"/>
          <w:szCs w:val="24"/>
          <w:u w:val="single"/>
        </w:rPr>
        <w:t xml:space="preserve">    </w:t>
      </w:r>
      <w:r>
        <w:rPr>
          <w:rFonts w:hint="eastAsia" w:ascii="宋体" w:hAnsi="宋体" w:cs="宋体"/>
          <w:sz w:val="24"/>
          <w:szCs w:val="24"/>
        </w:rPr>
        <w:t>天有效，并对我方具有约束力。</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5、在正式合同准备好和签字前，本报价函及贵方的书面成交结果通知书将构成约束我们双方的合同内容。</w:t>
      </w:r>
    </w:p>
    <w:p>
      <w:pPr>
        <w:pStyle w:val="20"/>
        <w:snapToGrid w:val="0"/>
        <w:spacing w:after="0" w:line="480" w:lineRule="exact"/>
        <w:rPr>
          <w:rFonts w:hint="eastAsia" w:ascii="宋体" w:hAnsi="宋体" w:cs="宋体"/>
          <w:b/>
          <w:sz w:val="24"/>
          <w:szCs w:val="24"/>
        </w:rPr>
      </w:pPr>
    </w:p>
    <w:p>
      <w:pPr>
        <w:pStyle w:val="20"/>
        <w:snapToGrid w:val="0"/>
        <w:spacing w:after="0" w:line="480" w:lineRule="exact"/>
        <w:rPr>
          <w:rFonts w:hint="eastAsia" w:ascii="宋体" w:hAnsi="宋体" w:cs="宋体"/>
          <w:b/>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ascii="宋体" w:hAnsi="宋体" w:cs="宋体"/>
          <w:b/>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b/>
          <w:sz w:val="32"/>
        </w:rPr>
      </w:pPr>
    </w:p>
    <w:p>
      <w:pPr>
        <w:pStyle w:val="58"/>
        <w:rPr>
          <w:rFonts w:hint="eastAsia" w:cs="宋体"/>
          <w:b/>
          <w:sz w:val="32"/>
        </w:rPr>
      </w:pPr>
    </w:p>
    <w:p>
      <w:pPr>
        <w:snapToGrid w:val="0"/>
        <w:spacing w:line="480" w:lineRule="exact"/>
        <w:ind w:firstLine="552"/>
        <w:rPr>
          <w:rFonts w:ascii="宋体" w:hAnsi="宋体" w:cs="宋体"/>
          <w:b/>
          <w:sz w:val="24"/>
          <w:szCs w:val="24"/>
        </w:rPr>
      </w:pPr>
    </w:p>
    <w:p>
      <w:pPr>
        <w:pStyle w:val="58"/>
        <w:rPr>
          <w:rFonts w:hint="eastAsia"/>
        </w:rPr>
      </w:pPr>
    </w:p>
    <w:sectPr>
      <w:footerReference r:id="rId5" w:type="default"/>
      <w:type w:val="nextColumn"/>
      <w:pgSz w:w="11906" w:h="16838"/>
      <w:pgMar w:top="1440" w:right="1274" w:bottom="1402"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汉鼎简楷体">
    <w:altName w:val="方正楷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roman"/>
    <w:pitch w:val="default"/>
    <w:sig w:usb0="00000000" w:usb1="00000000" w:usb2="0000003F" w:usb3="00000000" w:csb0="603F01FF" w:csb1="FFFF0000"/>
  </w:font>
  <w:font w:name="Helvetica">
    <w:altName w:val="Liberation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200101FF" w:csb1="2028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Adobe 宋体 Std L">
    <w:altName w:val="方正书宋_GBK"/>
    <w:panose1 w:val="00000000000000000000"/>
    <w:charset w:val="86"/>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26</w:t>
                          </w:r>
                          <w: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pYnG0AQAAUgMAAA4AAABkcnMv&#10;ZTJvRG9jLnhtbK1TS44TMRDdI3EHy3viTiQ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S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licb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85</w:t>
                          </w:r>
                          <w: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1JIC0AQAAUg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y+pcQLhyM6/ng4/vx9/HVPrkp7hpha&#10;zLqLmJfH92HkNMNOTaGE/iJ81ODKFyURTMFeHy79VWMmEp3z5WK5bDAkMTZdsAR7/D1Cyh9UcKQY&#10;nAIOsPZV7D+lfEqdUko1H26NtXWI1j9zIGbxsEL/xLFYedyMZ02b0B1Q0oCz59TjclJiP3p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vUkgL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85</w:t>
                    </w:r>
                    <w:r>
                      <w:fldChar w:fldCharType="end"/>
                    </w:r>
                  </w:p>
                </w:txbxContent>
              </v:textbox>
            </v:shape>
          </w:pict>
        </mc:Fallback>
      </mc:AlternateContent>
    </w:r>
  </w:p>
  <w:p>
    <w:pPr>
      <w:pStyle w:val="2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09F2D"/>
    <w:multiLevelType w:val="singleLevel"/>
    <w:tmpl w:val="AF709F2D"/>
    <w:lvl w:ilvl="0" w:tentative="0">
      <w:start w:val="1"/>
      <w:numFmt w:val="chineseCounting"/>
      <w:suff w:val="nothing"/>
      <w:lvlText w:val="（%1）"/>
      <w:lvlJc w:val="left"/>
      <w:rPr>
        <w:rFonts w:hint="eastAsia"/>
      </w:rPr>
    </w:lvl>
  </w:abstractNum>
  <w:abstractNum w:abstractNumId="1">
    <w:nsid w:val="C269DB47"/>
    <w:multiLevelType w:val="singleLevel"/>
    <w:tmpl w:val="C269DB47"/>
    <w:lvl w:ilvl="0" w:tentative="0">
      <w:start w:val="1"/>
      <w:numFmt w:val="chineseCounting"/>
      <w:suff w:val="nothing"/>
      <w:lvlText w:val="（%1）"/>
      <w:lvlJc w:val="left"/>
      <w:rPr>
        <w:rFonts w:hint="eastAsia"/>
      </w:rPr>
    </w:lvl>
  </w:abstractNum>
  <w:abstractNum w:abstractNumId="2">
    <w:nsid w:val="CD68638C"/>
    <w:multiLevelType w:val="singleLevel"/>
    <w:tmpl w:val="CD68638C"/>
    <w:lvl w:ilvl="0" w:tentative="0">
      <w:start w:val="1"/>
      <w:numFmt w:val="chineseCounting"/>
      <w:suff w:val="nothing"/>
      <w:lvlText w:val="（%1）"/>
      <w:lvlJc w:val="left"/>
      <w:pPr>
        <w:ind w:left="120" w:firstLine="0"/>
      </w:pPr>
      <w:rPr>
        <w:rFonts w:hint="eastAsia"/>
      </w:rPr>
    </w:lvl>
  </w:abstractNum>
  <w:abstractNum w:abstractNumId="3">
    <w:nsid w:val="CEBD7690"/>
    <w:multiLevelType w:val="singleLevel"/>
    <w:tmpl w:val="CEBD7690"/>
    <w:lvl w:ilvl="0" w:tentative="0">
      <w:start w:val="1"/>
      <w:numFmt w:val="chineseCounting"/>
      <w:suff w:val="nothing"/>
      <w:lvlText w:val="%1、"/>
      <w:lvlJc w:val="left"/>
      <w:rPr>
        <w:rFonts w:hint="eastAsia"/>
      </w:rPr>
    </w:lvl>
  </w:abstractNum>
  <w:abstractNum w:abstractNumId="4">
    <w:nsid w:val="0000000B"/>
    <w:multiLevelType w:val="multilevel"/>
    <w:tmpl w:val="0000000B"/>
    <w:lvl w:ilvl="0" w:tentative="0">
      <w:start w:val="1"/>
      <w:numFmt w:val="decimal"/>
      <w:pStyle w:val="80"/>
      <w:lvlText w:val="3.%1"/>
      <w:lvlJc w:val="left"/>
      <w:pPr>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13"/>
      <w:lvlText w:val=""/>
      <w:lvlJc w:val="left"/>
      <w:pPr>
        <w:tabs>
          <w:tab w:val="left" w:pos="1260"/>
        </w:tabs>
        <w:ind w:left="1260" w:hanging="420"/>
      </w:pPr>
      <w:rPr>
        <w:rFonts w:hint="default" w:ascii="Wingdings" w:hAnsi="Wingdings"/>
      </w:rPr>
    </w:lvl>
    <w:lvl w:ilvl="3" w:tentative="0">
      <w:start w:val="1"/>
      <w:numFmt w:val="bullet"/>
      <w:pStyle w:val="84"/>
      <w:lvlText w:val=""/>
      <w:lvlJc w:val="left"/>
      <w:pPr>
        <w:tabs>
          <w:tab w:val="left" w:pos="1680"/>
        </w:tabs>
        <w:ind w:left="1680" w:hanging="420"/>
      </w:pPr>
      <w:rPr>
        <w:rFonts w:hint="default" w:ascii="Wingdings" w:hAnsi="Wingdings"/>
      </w:rPr>
    </w:lvl>
    <w:lvl w:ilvl="4" w:tentative="0">
      <w:start w:val="1"/>
      <w:numFmt w:val="bullet"/>
      <w:pStyle w:val="69"/>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F18E401"/>
    <w:multiLevelType w:val="singleLevel"/>
    <w:tmpl w:val="0F18E401"/>
    <w:lvl w:ilvl="0" w:tentative="0">
      <w:start w:val="1"/>
      <w:numFmt w:val="decimal"/>
      <w:suff w:val="nothing"/>
      <w:lvlText w:val="%1、"/>
      <w:lvlJc w:val="left"/>
    </w:lvl>
  </w:abstractNum>
  <w:abstractNum w:abstractNumId="6">
    <w:nsid w:val="13FD8386"/>
    <w:multiLevelType w:val="singleLevel"/>
    <w:tmpl w:val="13FD8386"/>
    <w:lvl w:ilvl="0" w:tentative="0">
      <w:start w:val="1"/>
      <w:numFmt w:val="chineseCounting"/>
      <w:suff w:val="nothing"/>
      <w:lvlText w:val="（%1）"/>
      <w:lvlJc w:val="left"/>
      <w:rPr>
        <w:rFonts w:hint="eastAsia"/>
      </w:rPr>
    </w:lvl>
  </w:abstractNum>
  <w:abstractNum w:abstractNumId="7">
    <w:nsid w:val="1670AC08"/>
    <w:multiLevelType w:val="singleLevel"/>
    <w:tmpl w:val="1670AC08"/>
    <w:lvl w:ilvl="0" w:tentative="0">
      <w:start w:val="1"/>
      <w:numFmt w:val="chineseCounting"/>
      <w:suff w:val="nothing"/>
      <w:lvlText w:val="（%1）"/>
      <w:lvlJc w:val="left"/>
      <w:rPr>
        <w:rFonts w:hint="eastAsia"/>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D0F397F"/>
    <w:multiLevelType w:val="singleLevel"/>
    <w:tmpl w:val="4D0F397F"/>
    <w:lvl w:ilvl="0" w:tentative="0">
      <w:start w:val="1"/>
      <w:numFmt w:val="decimal"/>
      <w:lvlText w:val="%1."/>
      <w:lvlJc w:val="left"/>
      <w:pPr>
        <w:tabs>
          <w:tab w:val="left" w:pos="312"/>
        </w:tabs>
      </w:pPr>
    </w:lvl>
  </w:abstractNum>
  <w:abstractNum w:abstractNumId="10">
    <w:nsid w:val="50A751E2"/>
    <w:multiLevelType w:val="singleLevel"/>
    <w:tmpl w:val="50A751E2"/>
    <w:lvl w:ilvl="0" w:tentative="0">
      <w:start w:val="1"/>
      <w:numFmt w:val="chineseCounting"/>
      <w:suff w:val="nothing"/>
      <w:lvlText w:val="（%1）"/>
      <w:lvlJc w:val="left"/>
      <w:rPr>
        <w:rFonts w:hint="eastAsia"/>
      </w:rPr>
    </w:lvl>
  </w:abstractNum>
  <w:abstractNum w:abstractNumId="11">
    <w:nsid w:val="77682B5D"/>
    <w:multiLevelType w:val="multilevel"/>
    <w:tmpl w:val="77682B5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1"/>
  </w:num>
  <w:num w:numId="2">
    <w:abstractNumId w:val="4"/>
  </w:num>
  <w:num w:numId="3">
    <w:abstractNumId w:val="8"/>
  </w:num>
  <w:num w:numId="4">
    <w:abstractNumId w:val="3"/>
  </w:num>
  <w:num w:numId="5">
    <w:abstractNumId w:val="2"/>
  </w:num>
  <w:num w:numId="6">
    <w:abstractNumId w:val="0"/>
  </w:num>
  <w:num w:numId="7">
    <w:abstractNumId w:val="10"/>
  </w:num>
  <w:num w:numId="8">
    <w:abstractNumId w:val="1"/>
  </w:num>
  <w:num w:numId="9">
    <w:abstractNumId w:val="7"/>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jM3OWIyNjNmMjEwYjNlZDVmZGRmZTY2NGVhM2MifQ=="/>
  </w:docVars>
  <w:rsids>
    <w:rsidRoot w:val="00026CC6"/>
    <w:rsid w:val="00003BC7"/>
    <w:rsid w:val="00003FD7"/>
    <w:rsid w:val="000040E3"/>
    <w:rsid w:val="0000546B"/>
    <w:rsid w:val="00006D35"/>
    <w:rsid w:val="00007114"/>
    <w:rsid w:val="0001026E"/>
    <w:rsid w:val="00012611"/>
    <w:rsid w:val="00013C8E"/>
    <w:rsid w:val="00014295"/>
    <w:rsid w:val="00016656"/>
    <w:rsid w:val="0001793E"/>
    <w:rsid w:val="000179D2"/>
    <w:rsid w:val="0002030E"/>
    <w:rsid w:val="00020D3A"/>
    <w:rsid w:val="0002131B"/>
    <w:rsid w:val="00026460"/>
    <w:rsid w:val="00026CC6"/>
    <w:rsid w:val="0003213E"/>
    <w:rsid w:val="00034516"/>
    <w:rsid w:val="00037042"/>
    <w:rsid w:val="00040FE0"/>
    <w:rsid w:val="00050C37"/>
    <w:rsid w:val="00057024"/>
    <w:rsid w:val="00060C50"/>
    <w:rsid w:val="00060D85"/>
    <w:rsid w:val="00062A69"/>
    <w:rsid w:val="00065466"/>
    <w:rsid w:val="0007049D"/>
    <w:rsid w:val="0007209F"/>
    <w:rsid w:val="00073CE0"/>
    <w:rsid w:val="000755BE"/>
    <w:rsid w:val="00075B54"/>
    <w:rsid w:val="00076EBF"/>
    <w:rsid w:val="00084FA5"/>
    <w:rsid w:val="00086BBA"/>
    <w:rsid w:val="00095FA1"/>
    <w:rsid w:val="000A054D"/>
    <w:rsid w:val="000A2B91"/>
    <w:rsid w:val="000A4897"/>
    <w:rsid w:val="000A49A1"/>
    <w:rsid w:val="000A49E4"/>
    <w:rsid w:val="000A54FE"/>
    <w:rsid w:val="000A66DA"/>
    <w:rsid w:val="000A6F6D"/>
    <w:rsid w:val="000A7728"/>
    <w:rsid w:val="000B04F2"/>
    <w:rsid w:val="000B1AED"/>
    <w:rsid w:val="000B48F7"/>
    <w:rsid w:val="000B5740"/>
    <w:rsid w:val="000B6414"/>
    <w:rsid w:val="000C0190"/>
    <w:rsid w:val="000C1688"/>
    <w:rsid w:val="000C1BB8"/>
    <w:rsid w:val="000C1DB9"/>
    <w:rsid w:val="000C71A4"/>
    <w:rsid w:val="000D614D"/>
    <w:rsid w:val="000D6205"/>
    <w:rsid w:val="000D6A58"/>
    <w:rsid w:val="000D790A"/>
    <w:rsid w:val="000E2773"/>
    <w:rsid w:val="000E333C"/>
    <w:rsid w:val="000E3995"/>
    <w:rsid w:val="000F325A"/>
    <w:rsid w:val="000F5DF7"/>
    <w:rsid w:val="000F6C86"/>
    <w:rsid w:val="001026E6"/>
    <w:rsid w:val="001048EC"/>
    <w:rsid w:val="00106C61"/>
    <w:rsid w:val="0010719A"/>
    <w:rsid w:val="0011097C"/>
    <w:rsid w:val="00111679"/>
    <w:rsid w:val="00117192"/>
    <w:rsid w:val="00117EC8"/>
    <w:rsid w:val="00120A2A"/>
    <w:rsid w:val="0012263B"/>
    <w:rsid w:val="001242DC"/>
    <w:rsid w:val="00125153"/>
    <w:rsid w:val="00125188"/>
    <w:rsid w:val="00125677"/>
    <w:rsid w:val="00125B51"/>
    <w:rsid w:val="0013333E"/>
    <w:rsid w:val="00135885"/>
    <w:rsid w:val="00137C8C"/>
    <w:rsid w:val="001448C8"/>
    <w:rsid w:val="0014635F"/>
    <w:rsid w:val="00146819"/>
    <w:rsid w:val="0014735F"/>
    <w:rsid w:val="00151C35"/>
    <w:rsid w:val="00151CB0"/>
    <w:rsid w:val="0015316E"/>
    <w:rsid w:val="00155B13"/>
    <w:rsid w:val="001575C4"/>
    <w:rsid w:val="0016079C"/>
    <w:rsid w:val="0016088F"/>
    <w:rsid w:val="001620E8"/>
    <w:rsid w:val="001624C4"/>
    <w:rsid w:val="00165720"/>
    <w:rsid w:val="00166DAC"/>
    <w:rsid w:val="0017059E"/>
    <w:rsid w:val="001725ED"/>
    <w:rsid w:val="001737ED"/>
    <w:rsid w:val="00176992"/>
    <w:rsid w:val="00176D53"/>
    <w:rsid w:val="00176D5C"/>
    <w:rsid w:val="00181A39"/>
    <w:rsid w:val="00182BFF"/>
    <w:rsid w:val="00182F9A"/>
    <w:rsid w:val="00183D3A"/>
    <w:rsid w:val="001857E1"/>
    <w:rsid w:val="00185DEA"/>
    <w:rsid w:val="00186408"/>
    <w:rsid w:val="001864E9"/>
    <w:rsid w:val="00186BB7"/>
    <w:rsid w:val="0019188A"/>
    <w:rsid w:val="00194AF5"/>
    <w:rsid w:val="00194DAC"/>
    <w:rsid w:val="00196DE2"/>
    <w:rsid w:val="001A0846"/>
    <w:rsid w:val="001A0A4D"/>
    <w:rsid w:val="001A19A9"/>
    <w:rsid w:val="001A4582"/>
    <w:rsid w:val="001A5F37"/>
    <w:rsid w:val="001A6656"/>
    <w:rsid w:val="001B241C"/>
    <w:rsid w:val="001B40BF"/>
    <w:rsid w:val="001B5027"/>
    <w:rsid w:val="001B5601"/>
    <w:rsid w:val="001B5C4B"/>
    <w:rsid w:val="001B7EA0"/>
    <w:rsid w:val="001C019D"/>
    <w:rsid w:val="001C4D8A"/>
    <w:rsid w:val="001C7B51"/>
    <w:rsid w:val="001D0A44"/>
    <w:rsid w:val="001D19E2"/>
    <w:rsid w:val="001D6101"/>
    <w:rsid w:val="001D6DA4"/>
    <w:rsid w:val="001E128E"/>
    <w:rsid w:val="001E5002"/>
    <w:rsid w:val="001E5C2B"/>
    <w:rsid w:val="001F1651"/>
    <w:rsid w:val="001F1833"/>
    <w:rsid w:val="001F1C5D"/>
    <w:rsid w:val="001F30AF"/>
    <w:rsid w:val="001F40FE"/>
    <w:rsid w:val="001F42FF"/>
    <w:rsid w:val="001F46DD"/>
    <w:rsid w:val="001F7536"/>
    <w:rsid w:val="002018C9"/>
    <w:rsid w:val="00202F5C"/>
    <w:rsid w:val="002032C0"/>
    <w:rsid w:val="0020422C"/>
    <w:rsid w:val="00204632"/>
    <w:rsid w:val="00210112"/>
    <w:rsid w:val="00211765"/>
    <w:rsid w:val="00211936"/>
    <w:rsid w:val="002126DE"/>
    <w:rsid w:val="002129A4"/>
    <w:rsid w:val="0021333A"/>
    <w:rsid w:val="002156CB"/>
    <w:rsid w:val="002213A3"/>
    <w:rsid w:val="0022334B"/>
    <w:rsid w:val="00230F7B"/>
    <w:rsid w:val="00236370"/>
    <w:rsid w:val="00242CDB"/>
    <w:rsid w:val="00242ECD"/>
    <w:rsid w:val="00242FE7"/>
    <w:rsid w:val="00243DD5"/>
    <w:rsid w:val="00244E7D"/>
    <w:rsid w:val="00245354"/>
    <w:rsid w:val="00247854"/>
    <w:rsid w:val="00247980"/>
    <w:rsid w:val="00251B03"/>
    <w:rsid w:val="0025277F"/>
    <w:rsid w:val="0025789F"/>
    <w:rsid w:val="00260735"/>
    <w:rsid w:val="00262534"/>
    <w:rsid w:val="00272072"/>
    <w:rsid w:val="00272555"/>
    <w:rsid w:val="00275393"/>
    <w:rsid w:val="00276287"/>
    <w:rsid w:val="00282149"/>
    <w:rsid w:val="002841FC"/>
    <w:rsid w:val="00285541"/>
    <w:rsid w:val="0028755A"/>
    <w:rsid w:val="002924A1"/>
    <w:rsid w:val="0029540F"/>
    <w:rsid w:val="00296ADD"/>
    <w:rsid w:val="002A035B"/>
    <w:rsid w:val="002A17C9"/>
    <w:rsid w:val="002A34EC"/>
    <w:rsid w:val="002A6430"/>
    <w:rsid w:val="002A6E12"/>
    <w:rsid w:val="002B13F8"/>
    <w:rsid w:val="002B56E6"/>
    <w:rsid w:val="002C0DD0"/>
    <w:rsid w:val="002C0E84"/>
    <w:rsid w:val="002C16D9"/>
    <w:rsid w:val="002C1E77"/>
    <w:rsid w:val="002C3E77"/>
    <w:rsid w:val="002C4BC1"/>
    <w:rsid w:val="002C5324"/>
    <w:rsid w:val="002C5C30"/>
    <w:rsid w:val="002C7C99"/>
    <w:rsid w:val="002D1553"/>
    <w:rsid w:val="002F1C56"/>
    <w:rsid w:val="002F27CE"/>
    <w:rsid w:val="002F2B49"/>
    <w:rsid w:val="002F3381"/>
    <w:rsid w:val="002F3C2B"/>
    <w:rsid w:val="002F5C67"/>
    <w:rsid w:val="002F5D74"/>
    <w:rsid w:val="002F67CE"/>
    <w:rsid w:val="002F7372"/>
    <w:rsid w:val="00301237"/>
    <w:rsid w:val="003020A6"/>
    <w:rsid w:val="00307C42"/>
    <w:rsid w:val="00312DBB"/>
    <w:rsid w:val="00315280"/>
    <w:rsid w:val="00316CC2"/>
    <w:rsid w:val="00316E64"/>
    <w:rsid w:val="00320D7B"/>
    <w:rsid w:val="00321D4F"/>
    <w:rsid w:val="003233F8"/>
    <w:rsid w:val="00327BBB"/>
    <w:rsid w:val="00330546"/>
    <w:rsid w:val="00330C43"/>
    <w:rsid w:val="003320E6"/>
    <w:rsid w:val="00333671"/>
    <w:rsid w:val="00333D75"/>
    <w:rsid w:val="00335045"/>
    <w:rsid w:val="00335FAB"/>
    <w:rsid w:val="003374E9"/>
    <w:rsid w:val="00340A52"/>
    <w:rsid w:val="0034101D"/>
    <w:rsid w:val="00341EF0"/>
    <w:rsid w:val="003441F1"/>
    <w:rsid w:val="00345572"/>
    <w:rsid w:val="00345A69"/>
    <w:rsid w:val="00347073"/>
    <w:rsid w:val="003473B3"/>
    <w:rsid w:val="00352FCF"/>
    <w:rsid w:val="00357378"/>
    <w:rsid w:val="0036042F"/>
    <w:rsid w:val="003626EE"/>
    <w:rsid w:val="00362EBE"/>
    <w:rsid w:val="0036400E"/>
    <w:rsid w:val="00365BF2"/>
    <w:rsid w:val="003667B1"/>
    <w:rsid w:val="003675CF"/>
    <w:rsid w:val="00367716"/>
    <w:rsid w:val="00367F99"/>
    <w:rsid w:val="00372666"/>
    <w:rsid w:val="0037416A"/>
    <w:rsid w:val="003760D2"/>
    <w:rsid w:val="00376D7E"/>
    <w:rsid w:val="00381399"/>
    <w:rsid w:val="00381F0C"/>
    <w:rsid w:val="003820CA"/>
    <w:rsid w:val="00385C56"/>
    <w:rsid w:val="003927C5"/>
    <w:rsid w:val="0039432B"/>
    <w:rsid w:val="00395713"/>
    <w:rsid w:val="00396200"/>
    <w:rsid w:val="003A0C19"/>
    <w:rsid w:val="003A1B33"/>
    <w:rsid w:val="003A2E4C"/>
    <w:rsid w:val="003A3C9D"/>
    <w:rsid w:val="003A5422"/>
    <w:rsid w:val="003A5FBB"/>
    <w:rsid w:val="003A77FF"/>
    <w:rsid w:val="003B15DC"/>
    <w:rsid w:val="003B1D72"/>
    <w:rsid w:val="003B5E99"/>
    <w:rsid w:val="003C337A"/>
    <w:rsid w:val="003C3FEF"/>
    <w:rsid w:val="003C621C"/>
    <w:rsid w:val="003D2643"/>
    <w:rsid w:val="003E065F"/>
    <w:rsid w:val="003E1094"/>
    <w:rsid w:val="003E436C"/>
    <w:rsid w:val="003E5380"/>
    <w:rsid w:val="003E6EDC"/>
    <w:rsid w:val="003F0A64"/>
    <w:rsid w:val="003F231C"/>
    <w:rsid w:val="003F36C3"/>
    <w:rsid w:val="003F3D3D"/>
    <w:rsid w:val="003F3F19"/>
    <w:rsid w:val="003F4456"/>
    <w:rsid w:val="004000D8"/>
    <w:rsid w:val="004002F0"/>
    <w:rsid w:val="0040517F"/>
    <w:rsid w:val="004057B2"/>
    <w:rsid w:val="00405B0F"/>
    <w:rsid w:val="00405DF2"/>
    <w:rsid w:val="00406118"/>
    <w:rsid w:val="004078D7"/>
    <w:rsid w:val="00420D96"/>
    <w:rsid w:val="00422485"/>
    <w:rsid w:val="004248BB"/>
    <w:rsid w:val="00425727"/>
    <w:rsid w:val="00426CEA"/>
    <w:rsid w:val="00427FF7"/>
    <w:rsid w:val="004301D0"/>
    <w:rsid w:val="00435F6C"/>
    <w:rsid w:val="00436657"/>
    <w:rsid w:val="00436B9F"/>
    <w:rsid w:val="0044192E"/>
    <w:rsid w:val="00443616"/>
    <w:rsid w:val="00444FB2"/>
    <w:rsid w:val="004509A0"/>
    <w:rsid w:val="004533A6"/>
    <w:rsid w:val="004561EA"/>
    <w:rsid w:val="00456690"/>
    <w:rsid w:val="00457CE5"/>
    <w:rsid w:val="00461028"/>
    <w:rsid w:val="004656D7"/>
    <w:rsid w:val="0046604B"/>
    <w:rsid w:val="004703BD"/>
    <w:rsid w:val="00473324"/>
    <w:rsid w:val="00473E0A"/>
    <w:rsid w:val="0047605A"/>
    <w:rsid w:val="004760BA"/>
    <w:rsid w:val="00482130"/>
    <w:rsid w:val="00482899"/>
    <w:rsid w:val="00484208"/>
    <w:rsid w:val="0048790A"/>
    <w:rsid w:val="004907D6"/>
    <w:rsid w:val="00493262"/>
    <w:rsid w:val="00495807"/>
    <w:rsid w:val="00496A9E"/>
    <w:rsid w:val="00497012"/>
    <w:rsid w:val="004A263B"/>
    <w:rsid w:val="004B182A"/>
    <w:rsid w:val="004B1E0F"/>
    <w:rsid w:val="004B4554"/>
    <w:rsid w:val="004B71A9"/>
    <w:rsid w:val="004C05D1"/>
    <w:rsid w:val="004C1CB5"/>
    <w:rsid w:val="004C4BC5"/>
    <w:rsid w:val="004C547F"/>
    <w:rsid w:val="004C6B7B"/>
    <w:rsid w:val="004C6BAD"/>
    <w:rsid w:val="004D1A2B"/>
    <w:rsid w:val="004D217C"/>
    <w:rsid w:val="004D2348"/>
    <w:rsid w:val="004D2A92"/>
    <w:rsid w:val="004D37FD"/>
    <w:rsid w:val="004E01B0"/>
    <w:rsid w:val="004E0CF8"/>
    <w:rsid w:val="004E135A"/>
    <w:rsid w:val="004E4D05"/>
    <w:rsid w:val="004E6FEB"/>
    <w:rsid w:val="004F0264"/>
    <w:rsid w:val="004F0E30"/>
    <w:rsid w:val="004F0FDF"/>
    <w:rsid w:val="004F669D"/>
    <w:rsid w:val="00502FB6"/>
    <w:rsid w:val="005060D8"/>
    <w:rsid w:val="005064CF"/>
    <w:rsid w:val="00506757"/>
    <w:rsid w:val="00510A59"/>
    <w:rsid w:val="005141E5"/>
    <w:rsid w:val="00515A0F"/>
    <w:rsid w:val="0051655A"/>
    <w:rsid w:val="005173C0"/>
    <w:rsid w:val="0052425C"/>
    <w:rsid w:val="00524407"/>
    <w:rsid w:val="0052450D"/>
    <w:rsid w:val="00524FAB"/>
    <w:rsid w:val="005266BE"/>
    <w:rsid w:val="00526DE3"/>
    <w:rsid w:val="005304FA"/>
    <w:rsid w:val="00535479"/>
    <w:rsid w:val="00535B5A"/>
    <w:rsid w:val="005377E1"/>
    <w:rsid w:val="00541067"/>
    <w:rsid w:val="005431EB"/>
    <w:rsid w:val="0054417B"/>
    <w:rsid w:val="00546E48"/>
    <w:rsid w:val="00547550"/>
    <w:rsid w:val="00550A52"/>
    <w:rsid w:val="00553320"/>
    <w:rsid w:val="00555309"/>
    <w:rsid w:val="00556627"/>
    <w:rsid w:val="00560C6C"/>
    <w:rsid w:val="00565320"/>
    <w:rsid w:val="00572829"/>
    <w:rsid w:val="00572CCF"/>
    <w:rsid w:val="0057591D"/>
    <w:rsid w:val="00580C43"/>
    <w:rsid w:val="005810CC"/>
    <w:rsid w:val="00583250"/>
    <w:rsid w:val="0058503E"/>
    <w:rsid w:val="005929D1"/>
    <w:rsid w:val="00595A5B"/>
    <w:rsid w:val="00596A9B"/>
    <w:rsid w:val="005A1D2F"/>
    <w:rsid w:val="005A22DA"/>
    <w:rsid w:val="005A3594"/>
    <w:rsid w:val="005A76F2"/>
    <w:rsid w:val="005B0CEE"/>
    <w:rsid w:val="005B3228"/>
    <w:rsid w:val="005B55E1"/>
    <w:rsid w:val="005B5E7B"/>
    <w:rsid w:val="005C1380"/>
    <w:rsid w:val="005C5F78"/>
    <w:rsid w:val="005C62E0"/>
    <w:rsid w:val="005C6373"/>
    <w:rsid w:val="005C74A3"/>
    <w:rsid w:val="005D0362"/>
    <w:rsid w:val="005D166B"/>
    <w:rsid w:val="005D4A05"/>
    <w:rsid w:val="005D4D8C"/>
    <w:rsid w:val="005E01AE"/>
    <w:rsid w:val="005E0E5A"/>
    <w:rsid w:val="005E1254"/>
    <w:rsid w:val="005E43E8"/>
    <w:rsid w:val="005E46B0"/>
    <w:rsid w:val="005E554F"/>
    <w:rsid w:val="005E5DE2"/>
    <w:rsid w:val="005E61A8"/>
    <w:rsid w:val="005F4533"/>
    <w:rsid w:val="005F492E"/>
    <w:rsid w:val="00601274"/>
    <w:rsid w:val="00602431"/>
    <w:rsid w:val="00605172"/>
    <w:rsid w:val="006158D1"/>
    <w:rsid w:val="00621B20"/>
    <w:rsid w:val="006231FD"/>
    <w:rsid w:val="00625641"/>
    <w:rsid w:val="00627041"/>
    <w:rsid w:val="00630E4B"/>
    <w:rsid w:val="00631216"/>
    <w:rsid w:val="00631CF2"/>
    <w:rsid w:val="00634206"/>
    <w:rsid w:val="006359DF"/>
    <w:rsid w:val="006371F2"/>
    <w:rsid w:val="00645512"/>
    <w:rsid w:val="00646D6F"/>
    <w:rsid w:val="0064756D"/>
    <w:rsid w:val="006476DC"/>
    <w:rsid w:val="00651287"/>
    <w:rsid w:val="00651D1A"/>
    <w:rsid w:val="0066275E"/>
    <w:rsid w:val="006636FC"/>
    <w:rsid w:val="006644AB"/>
    <w:rsid w:val="0066583A"/>
    <w:rsid w:val="00665863"/>
    <w:rsid w:val="00665F5D"/>
    <w:rsid w:val="0067026F"/>
    <w:rsid w:val="00670281"/>
    <w:rsid w:val="006752A1"/>
    <w:rsid w:val="0067629B"/>
    <w:rsid w:val="00681D4D"/>
    <w:rsid w:val="00682A9B"/>
    <w:rsid w:val="006905AD"/>
    <w:rsid w:val="00695091"/>
    <w:rsid w:val="00697FCC"/>
    <w:rsid w:val="006A2CA5"/>
    <w:rsid w:val="006A55A1"/>
    <w:rsid w:val="006B196E"/>
    <w:rsid w:val="006B400C"/>
    <w:rsid w:val="006B4532"/>
    <w:rsid w:val="006B4E65"/>
    <w:rsid w:val="006C08E2"/>
    <w:rsid w:val="006C3E3F"/>
    <w:rsid w:val="006C4A81"/>
    <w:rsid w:val="006C6E4D"/>
    <w:rsid w:val="006C7C89"/>
    <w:rsid w:val="006D353F"/>
    <w:rsid w:val="006D75EC"/>
    <w:rsid w:val="006E0E5A"/>
    <w:rsid w:val="006E3310"/>
    <w:rsid w:val="006E7DCB"/>
    <w:rsid w:val="006F0FBF"/>
    <w:rsid w:val="006F1DB1"/>
    <w:rsid w:val="006F444D"/>
    <w:rsid w:val="006F7E0B"/>
    <w:rsid w:val="00701412"/>
    <w:rsid w:val="00703B60"/>
    <w:rsid w:val="00704C5D"/>
    <w:rsid w:val="00705CD7"/>
    <w:rsid w:val="00706266"/>
    <w:rsid w:val="00716187"/>
    <w:rsid w:val="00720226"/>
    <w:rsid w:val="00720498"/>
    <w:rsid w:val="00722267"/>
    <w:rsid w:val="00723AE2"/>
    <w:rsid w:val="00723C6C"/>
    <w:rsid w:val="00725696"/>
    <w:rsid w:val="00725FA3"/>
    <w:rsid w:val="007278C6"/>
    <w:rsid w:val="00730F6E"/>
    <w:rsid w:val="00732B32"/>
    <w:rsid w:val="00733069"/>
    <w:rsid w:val="007331CE"/>
    <w:rsid w:val="00733619"/>
    <w:rsid w:val="0073696F"/>
    <w:rsid w:val="00736E73"/>
    <w:rsid w:val="00737959"/>
    <w:rsid w:val="00741BC7"/>
    <w:rsid w:val="007455EF"/>
    <w:rsid w:val="00745905"/>
    <w:rsid w:val="007475A7"/>
    <w:rsid w:val="00753D55"/>
    <w:rsid w:val="00754671"/>
    <w:rsid w:val="0075571E"/>
    <w:rsid w:val="00756590"/>
    <w:rsid w:val="0076007E"/>
    <w:rsid w:val="007605A7"/>
    <w:rsid w:val="00763D31"/>
    <w:rsid w:val="00764B74"/>
    <w:rsid w:val="00764C90"/>
    <w:rsid w:val="00767D60"/>
    <w:rsid w:val="0077088C"/>
    <w:rsid w:val="0078173D"/>
    <w:rsid w:val="00784CC4"/>
    <w:rsid w:val="00786015"/>
    <w:rsid w:val="00787318"/>
    <w:rsid w:val="0078745D"/>
    <w:rsid w:val="007876BF"/>
    <w:rsid w:val="00791F8D"/>
    <w:rsid w:val="007948F9"/>
    <w:rsid w:val="007A2904"/>
    <w:rsid w:val="007A5853"/>
    <w:rsid w:val="007A7AB6"/>
    <w:rsid w:val="007B083F"/>
    <w:rsid w:val="007B0DF1"/>
    <w:rsid w:val="007B155D"/>
    <w:rsid w:val="007B1D7D"/>
    <w:rsid w:val="007B37D1"/>
    <w:rsid w:val="007B5221"/>
    <w:rsid w:val="007B5ABB"/>
    <w:rsid w:val="007B5E27"/>
    <w:rsid w:val="007B776F"/>
    <w:rsid w:val="007B7EFE"/>
    <w:rsid w:val="007C2A62"/>
    <w:rsid w:val="007C3736"/>
    <w:rsid w:val="007C3FEC"/>
    <w:rsid w:val="007C451A"/>
    <w:rsid w:val="007C60B2"/>
    <w:rsid w:val="007D07BE"/>
    <w:rsid w:val="007D4FDF"/>
    <w:rsid w:val="007D57FC"/>
    <w:rsid w:val="007E1F00"/>
    <w:rsid w:val="007E4402"/>
    <w:rsid w:val="007E4DE4"/>
    <w:rsid w:val="007E54EE"/>
    <w:rsid w:val="007F1AE0"/>
    <w:rsid w:val="007F46D1"/>
    <w:rsid w:val="00801870"/>
    <w:rsid w:val="00805B55"/>
    <w:rsid w:val="00807B96"/>
    <w:rsid w:val="00812283"/>
    <w:rsid w:val="00812B35"/>
    <w:rsid w:val="00815CBF"/>
    <w:rsid w:val="00815FB3"/>
    <w:rsid w:val="00821DDE"/>
    <w:rsid w:val="00825C30"/>
    <w:rsid w:val="0082670B"/>
    <w:rsid w:val="00826C66"/>
    <w:rsid w:val="00833D80"/>
    <w:rsid w:val="00835D31"/>
    <w:rsid w:val="0083637F"/>
    <w:rsid w:val="0083646B"/>
    <w:rsid w:val="00837C5C"/>
    <w:rsid w:val="00841476"/>
    <w:rsid w:val="00841B85"/>
    <w:rsid w:val="00845111"/>
    <w:rsid w:val="00851383"/>
    <w:rsid w:val="00852F68"/>
    <w:rsid w:val="00855952"/>
    <w:rsid w:val="00855C11"/>
    <w:rsid w:val="00855DAD"/>
    <w:rsid w:val="0085754A"/>
    <w:rsid w:val="008660AE"/>
    <w:rsid w:val="0086676E"/>
    <w:rsid w:val="00866EA9"/>
    <w:rsid w:val="0086788F"/>
    <w:rsid w:val="00872C00"/>
    <w:rsid w:val="00874263"/>
    <w:rsid w:val="0087587C"/>
    <w:rsid w:val="0087632D"/>
    <w:rsid w:val="0087651C"/>
    <w:rsid w:val="00876C16"/>
    <w:rsid w:val="0088061A"/>
    <w:rsid w:val="00881EE6"/>
    <w:rsid w:val="008829A1"/>
    <w:rsid w:val="008853D5"/>
    <w:rsid w:val="00886228"/>
    <w:rsid w:val="008864AD"/>
    <w:rsid w:val="008946FE"/>
    <w:rsid w:val="00894F6A"/>
    <w:rsid w:val="00895135"/>
    <w:rsid w:val="00897DF4"/>
    <w:rsid w:val="008A0B68"/>
    <w:rsid w:val="008A3138"/>
    <w:rsid w:val="008B055B"/>
    <w:rsid w:val="008B0E33"/>
    <w:rsid w:val="008B4996"/>
    <w:rsid w:val="008C13D0"/>
    <w:rsid w:val="008C5995"/>
    <w:rsid w:val="008C5AF8"/>
    <w:rsid w:val="008D0469"/>
    <w:rsid w:val="008D14EF"/>
    <w:rsid w:val="008D2DFF"/>
    <w:rsid w:val="008E0F70"/>
    <w:rsid w:val="008E1091"/>
    <w:rsid w:val="008E2F90"/>
    <w:rsid w:val="008E3153"/>
    <w:rsid w:val="008E6B0F"/>
    <w:rsid w:val="008E7FBC"/>
    <w:rsid w:val="008F0069"/>
    <w:rsid w:val="008F03E4"/>
    <w:rsid w:val="008F094E"/>
    <w:rsid w:val="008F11B6"/>
    <w:rsid w:val="008F1592"/>
    <w:rsid w:val="008F1C86"/>
    <w:rsid w:val="008F3D53"/>
    <w:rsid w:val="008F4868"/>
    <w:rsid w:val="008F4CCF"/>
    <w:rsid w:val="008F52C0"/>
    <w:rsid w:val="008F5B28"/>
    <w:rsid w:val="00900D8F"/>
    <w:rsid w:val="00902D51"/>
    <w:rsid w:val="00903946"/>
    <w:rsid w:val="009066EE"/>
    <w:rsid w:val="0090768B"/>
    <w:rsid w:val="00912901"/>
    <w:rsid w:val="0091589C"/>
    <w:rsid w:val="00916B4E"/>
    <w:rsid w:val="009175DE"/>
    <w:rsid w:val="00917A2D"/>
    <w:rsid w:val="009248A0"/>
    <w:rsid w:val="009254B0"/>
    <w:rsid w:val="00926F1E"/>
    <w:rsid w:val="00927574"/>
    <w:rsid w:val="00930209"/>
    <w:rsid w:val="00935EBE"/>
    <w:rsid w:val="00946692"/>
    <w:rsid w:val="00947C33"/>
    <w:rsid w:val="00952C7E"/>
    <w:rsid w:val="009569CA"/>
    <w:rsid w:val="0096089E"/>
    <w:rsid w:val="00961451"/>
    <w:rsid w:val="009618B0"/>
    <w:rsid w:val="00962259"/>
    <w:rsid w:val="0096788F"/>
    <w:rsid w:val="00970975"/>
    <w:rsid w:val="00970B73"/>
    <w:rsid w:val="00970EB8"/>
    <w:rsid w:val="00971228"/>
    <w:rsid w:val="00972512"/>
    <w:rsid w:val="0097277E"/>
    <w:rsid w:val="00973C03"/>
    <w:rsid w:val="00974396"/>
    <w:rsid w:val="009765E8"/>
    <w:rsid w:val="00980B2D"/>
    <w:rsid w:val="0098206F"/>
    <w:rsid w:val="009829F2"/>
    <w:rsid w:val="00986AA2"/>
    <w:rsid w:val="00986D49"/>
    <w:rsid w:val="0098749B"/>
    <w:rsid w:val="00991014"/>
    <w:rsid w:val="0099342F"/>
    <w:rsid w:val="009947B6"/>
    <w:rsid w:val="009A6B2D"/>
    <w:rsid w:val="009A6C96"/>
    <w:rsid w:val="009A7248"/>
    <w:rsid w:val="009B29B4"/>
    <w:rsid w:val="009B3E6D"/>
    <w:rsid w:val="009B5A7D"/>
    <w:rsid w:val="009B7CE0"/>
    <w:rsid w:val="009C24BC"/>
    <w:rsid w:val="009C387F"/>
    <w:rsid w:val="009C40E6"/>
    <w:rsid w:val="009C53D6"/>
    <w:rsid w:val="009C77F3"/>
    <w:rsid w:val="009D2E93"/>
    <w:rsid w:val="009D65D9"/>
    <w:rsid w:val="009D77D0"/>
    <w:rsid w:val="009E0AC4"/>
    <w:rsid w:val="009E1E7A"/>
    <w:rsid w:val="009E2F64"/>
    <w:rsid w:val="009E3B44"/>
    <w:rsid w:val="009E6A5C"/>
    <w:rsid w:val="009E6BD8"/>
    <w:rsid w:val="009E73E6"/>
    <w:rsid w:val="009F3555"/>
    <w:rsid w:val="009F3FE4"/>
    <w:rsid w:val="00A0152B"/>
    <w:rsid w:val="00A057DD"/>
    <w:rsid w:val="00A13E3C"/>
    <w:rsid w:val="00A154D2"/>
    <w:rsid w:val="00A1779D"/>
    <w:rsid w:val="00A21019"/>
    <w:rsid w:val="00A22B34"/>
    <w:rsid w:val="00A25451"/>
    <w:rsid w:val="00A26214"/>
    <w:rsid w:val="00A26757"/>
    <w:rsid w:val="00A31A8F"/>
    <w:rsid w:val="00A31D5E"/>
    <w:rsid w:val="00A354E5"/>
    <w:rsid w:val="00A42030"/>
    <w:rsid w:val="00A43E64"/>
    <w:rsid w:val="00A50BD3"/>
    <w:rsid w:val="00A56E40"/>
    <w:rsid w:val="00A571AA"/>
    <w:rsid w:val="00A5760A"/>
    <w:rsid w:val="00A61C89"/>
    <w:rsid w:val="00A632FF"/>
    <w:rsid w:val="00A64049"/>
    <w:rsid w:val="00A64836"/>
    <w:rsid w:val="00A66F64"/>
    <w:rsid w:val="00A70E7C"/>
    <w:rsid w:val="00A722D0"/>
    <w:rsid w:val="00A73F56"/>
    <w:rsid w:val="00A74EA5"/>
    <w:rsid w:val="00A81A65"/>
    <w:rsid w:val="00A81EF9"/>
    <w:rsid w:val="00A825F3"/>
    <w:rsid w:val="00A83674"/>
    <w:rsid w:val="00A878A1"/>
    <w:rsid w:val="00A92393"/>
    <w:rsid w:val="00A93E53"/>
    <w:rsid w:val="00A94441"/>
    <w:rsid w:val="00A95A53"/>
    <w:rsid w:val="00A9689B"/>
    <w:rsid w:val="00AA1963"/>
    <w:rsid w:val="00AA2D43"/>
    <w:rsid w:val="00AA4818"/>
    <w:rsid w:val="00AA496C"/>
    <w:rsid w:val="00AA4E3E"/>
    <w:rsid w:val="00AB16A5"/>
    <w:rsid w:val="00AB466B"/>
    <w:rsid w:val="00AB50E5"/>
    <w:rsid w:val="00AB6FA6"/>
    <w:rsid w:val="00AC063D"/>
    <w:rsid w:val="00AC4DB4"/>
    <w:rsid w:val="00AC5632"/>
    <w:rsid w:val="00AD0445"/>
    <w:rsid w:val="00AD0537"/>
    <w:rsid w:val="00AD3A02"/>
    <w:rsid w:val="00AE000C"/>
    <w:rsid w:val="00AE0406"/>
    <w:rsid w:val="00AE112C"/>
    <w:rsid w:val="00AE24BA"/>
    <w:rsid w:val="00AE28E2"/>
    <w:rsid w:val="00AE3DBF"/>
    <w:rsid w:val="00AE5E8A"/>
    <w:rsid w:val="00AE7361"/>
    <w:rsid w:val="00AF0D5E"/>
    <w:rsid w:val="00AF0F1D"/>
    <w:rsid w:val="00AF3606"/>
    <w:rsid w:val="00AF37E0"/>
    <w:rsid w:val="00AF60D0"/>
    <w:rsid w:val="00B03914"/>
    <w:rsid w:val="00B1007B"/>
    <w:rsid w:val="00B114B2"/>
    <w:rsid w:val="00B135EB"/>
    <w:rsid w:val="00B1443C"/>
    <w:rsid w:val="00B21AAE"/>
    <w:rsid w:val="00B274DF"/>
    <w:rsid w:val="00B27658"/>
    <w:rsid w:val="00B30B40"/>
    <w:rsid w:val="00B31E7E"/>
    <w:rsid w:val="00B32E08"/>
    <w:rsid w:val="00B33B1B"/>
    <w:rsid w:val="00B34A6B"/>
    <w:rsid w:val="00B36705"/>
    <w:rsid w:val="00B4028D"/>
    <w:rsid w:val="00B41818"/>
    <w:rsid w:val="00B422D5"/>
    <w:rsid w:val="00B430B5"/>
    <w:rsid w:val="00B56831"/>
    <w:rsid w:val="00B64AC3"/>
    <w:rsid w:val="00B667F4"/>
    <w:rsid w:val="00B67F38"/>
    <w:rsid w:val="00B71C88"/>
    <w:rsid w:val="00B762A9"/>
    <w:rsid w:val="00B7630E"/>
    <w:rsid w:val="00B76688"/>
    <w:rsid w:val="00B768ED"/>
    <w:rsid w:val="00B81DFE"/>
    <w:rsid w:val="00B857F9"/>
    <w:rsid w:val="00B85954"/>
    <w:rsid w:val="00B861E4"/>
    <w:rsid w:val="00B92A59"/>
    <w:rsid w:val="00B934B3"/>
    <w:rsid w:val="00B93D6B"/>
    <w:rsid w:val="00B957AA"/>
    <w:rsid w:val="00BA047F"/>
    <w:rsid w:val="00BB222B"/>
    <w:rsid w:val="00BB24EF"/>
    <w:rsid w:val="00BB3009"/>
    <w:rsid w:val="00BB4AE5"/>
    <w:rsid w:val="00BB64C6"/>
    <w:rsid w:val="00BB67DD"/>
    <w:rsid w:val="00BB7E3A"/>
    <w:rsid w:val="00BC2ECC"/>
    <w:rsid w:val="00BC39C7"/>
    <w:rsid w:val="00BC3B8D"/>
    <w:rsid w:val="00BC3F0A"/>
    <w:rsid w:val="00BC7C1B"/>
    <w:rsid w:val="00BD0029"/>
    <w:rsid w:val="00BD02E1"/>
    <w:rsid w:val="00BD3176"/>
    <w:rsid w:val="00BD3FE4"/>
    <w:rsid w:val="00BD4D48"/>
    <w:rsid w:val="00BD6DE9"/>
    <w:rsid w:val="00BD73FF"/>
    <w:rsid w:val="00BD79BE"/>
    <w:rsid w:val="00BE1543"/>
    <w:rsid w:val="00BE2C5F"/>
    <w:rsid w:val="00BE5A41"/>
    <w:rsid w:val="00BE5C0B"/>
    <w:rsid w:val="00BE60FF"/>
    <w:rsid w:val="00BF018F"/>
    <w:rsid w:val="00BF21C7"/>
    <w:rsid w:val="00BF39C3"/>
    <w:rsid w:val="00BF4DFB"/>
    <w:rsid w:val="00BF5572"/>
    <w:rsid w:val="00BF55DA"/>
    <w:rsid w:val="00BF6FBA"/>
    <w:rsid w:val="00BF7E6B"/>
    <w:rsid w:val="00C010C1"/>
    <w:rsid w:val="00C02A9B"/>
    <w:rsid w:val="00C03B25"/>
    <w:rsid w:val="00C04B2D"/>
    <w:rsid w:val="00C07798"/>
    <w:rsid w:val="00C10570"/>
    <w:rsid w:val="00C17324"/>
    <w:rsid w:val="00C211EE"/>
    <w:rsid w:val="00C21A4A"/>
    <w:rsid w:val="00C222E0"/>
    <w:rsid w:val="00C277B0"/>
    <w:rsid w:val="00C32D1B"/>
    <w:rsid w:val="00C33AF4"/>
    <w:rsid w:val="00C3499A"/>
    <w:rsid w:val="00C35A7A"/>
    <w:rsid w:val="00C40392"/>
    <w:rsid w:val="00C408D2"/>
    <w:rsid w:val="00C41599"/>
    <w:rsid w:val="00C43D56"/>
    <w:rsid w:val="00C443F6"/>
    <w:rsid w:val="00C44A8D"/>
    <w:rsid w:val="00C4783E"/>
    <w:rsid w:val="00C47A4B"/>
    <w:rsid w:val="00C50DF2"/>
    <w:rsid w:val="00C52545"/>
    <w:rsid w:val="00C527E6"/>
    <w:rsid w:val="00C5547C"/>
    <w:rsid w:val="00C55F92"/>
    <w:rsid w:val="00C578A2"/>
    <w:rsid w:val="00C7092D"/>
    <w:rsid w:val="00C721F4"/>
    <w:rsid w:val="00C7261C"/>
    <w:rsid w:val="00C7401D"/>
    <w:rsid w:val="00C7507D"/>
    <w:rsid w:val="00C76E00"/>
    <w:rsid w:val="00C777DA"/>
    <w:rsid w:val="00C82451"/>
    <w:rsid w:val="00C84C87"/>
    <w:rsid w:val="00C861A2"/>
    <w:rsid w:val="00C9445E"/>
    <w:rsid w:val="00CA03CD"/>
    <w:rsid w:val="00CA3BA5"/>
    <w:rsid w:val="00CB2C3B"/>
    <w:rsid w:val="00CB526E"/>
    <w:rsid w:val="00CB5667"/>
    <w:rsid w:val="00CB717E"/>
    <w:rsid w:val="00CC0E44"/>
    <w:rsid w:val="00CC1EE5"/>
    <w:rsid w:val="00CC4253"/>
    <w:rsid w:val="00CC6377"/>
    <w:rsid w:val="00CD1028"/>
    <w:rsid w:val="00CD1FA0"/>
    <w:rsid w:val="00CD3042"/>
    <w:rsid w:val="00CD7C6D"/>
    <w:rsid w:val="00CD7C82"/>
    <w:rsid w:val="00CE070A"/>
    <w:rsid w:val="00CE6E0A"/>
    <w:rsid w:val="00CE75CB"/>
    <w:rsid w:val="00CE79F8"/>
    <w:rsid w:val="00CE7DD6"/>
    <w:rsid w:val="00CF031B"/>
    <w:rsid w:val="00CF0B85"/>
    <w:rsid w:val="00CF1757"/>
    <w:rsid w:val="00CF32D7"/>
    <w:rsid w:val="00D00145"/>
    <w:rsid w:val="00D03D68"/>
    <w:rsid w:val="00D05ADA"/>
    <w:rsid w:val="00D07292"/>
    <w:rsid w:val="00D07756"/>
    <w:rsid w:val="00D07B59"/>
    <w:rsid w:val="00D10B1F"/>
    <w:rsid w:val="00D11295"/>
    <w:rsid w:val="00D11325"/>
    <w:rsid w:val="00D13919"/>
    <w:rsid w:val="00D1761F"/>
    <w:rsid w:val="00D211C4"/>
    <w:rsid w:val="00D222BC"/>
    <w:rsid w:val="00D231A6"/>
    <w:rsid w:val="00D23B54"/>
    <w:rsid w:val="00D23BD6"/>
    <w:rsid w:val="00D242A1"/>
    <w:rsid w:val="00D2435D"/>
    <w:rsid w:val="00D25070"/>
    <w:rsid w:val="00D260D0"/>
    <w:rsid w:val="00D269AE"/>
    <w:rsid w:val="00D35E04"/>
    <w:rsid w:val="00D37B22"/>
    <w:rsid w:val="00D4172C"/>
    <w:rsid w:val="00D4244A"/>
    <w:rsid w:val="00D43070"/>
    <w:rsid w:val="00D44167"/>
    <w:rsid w:val="00D50656"/>
    <w:rsid w:val="00D528EE"/>
    <w:rsid w:val="00D634EA"/>
    <w:rsid w:val="00D65006"/>
    <w:rsid w:val="00D70F46"/>
    <w:rsid w:val="00D71DFB"/>
    <w:rsid w:val="00D72413"/>
    <w:rsid w:val="00D726E8"/>
    <w:rsid w:val="00D76622"/>
    <w:rsid w:val="00D76FF0"/>
    <w:rsid w:val="00D77285"/>
    <w:rsid w:val="00D77B7B"/>
    <w:rsid w:val="00D806E4"/>
    <w:rsid w:val="00D84A15"/>
    <w:rsid w:val="00D8506F"/>
    <w:rsid w:val="00D85080"/>
    <w:rsid w:val="00D863CB"/>
    <w:rsid w:val="00D904E2"/>
    <w:rsid w:val="00D91227"/>
    <w:rsid w:val="00D9622D"/>
    <w:rsid w:val="00D9682A"/>
    <w:rsid w:val="00DA10A3"/>
    <w:rsid w:val="00DA201F"/>
    <w:rsid w:val="00DA205E"/>
    <w:rsid w:val="00DA7060"/>
    <w:rsid w:val="00DB06D5"/>
    <w:rsid w:val="00DB214D"/>
    <w:rsid w:val="00DB2249"/>
    <w:rsid w:val="00DB26CE"/>
    <w:rsid w:val="00DB2DA2"/>
    <w:rsid w:val="00DB54FF"/>
    <w:rsid w:val="00DB602A"/>
    <w:rsid w:val="00DC0ECF"/>
    <w:rsid w:val="00DC1364"/>
    <w:rsid w:val="00DC1D64"/>
    <w:rsid w:val="00DC3182"/>
    <w:rsid w:val="00DD13B4"/>
    <w:rsid w:val="00DD2936"/>
    <w:rsid w:val="00DD3598"/>
    <w:rsid w:val="00DD74B1"/>
    <w:rsid w:val="00DE1730"/>
    <w:rsid w:val="00DE1F4D"/>
    <w:rsid w:val="00DE1FB3"/>
    <w:rsid w:val="00DE238A"/>
    <w:rsid w:val="00DE2E1E"/>
    <w:rsid w:val="00DE407A"/>
    <w:rsid w:val="00DE4187"/>
    <w:rsid w:val="00DF0581"/>
    <w:rsid w:val="00DF0D99"/>
    <w:rsid w:val="00DF51C4"/>
    <w:rsid w:val="00DF5B6F"/>
    <w:rsid w:val="00DF5F75"/>
    <w:rsid w:val="00DF6320"/>
    <w:rsid w:val="00E009D3"/>
    <w:rsid w:val="00E0225D"/>
    <w:rsid w:val="00E10C9C"/>
    <w:rsid w:val="00E11A2B"/>
    <w:rsid w:val="00E12DD4"/>
    <w:rsid w:val="00E1566B"/>
    <w:rsid w:val="00E15C29"/>
    <w:rsid w:val="00E16852"/>
    <w:rsid w:val="00E20B8F"/>
    <w:rsid w:val="00E21E24"/>
    <w:rsid w:val="00E22D0E"/>
    <w:rsid w:val="00E24ACE"/>
    <w:rsid w:val="00E33E7F"/>
    <w:rsid w:val="00E34C3D"/>
    <w:rsid w:val="00E37DA2"/>
    <w:rsid w:val="00E41E01"/>
    <w:rsid w:val="00E44AA7"/>
    <w:rsid w:val="00E507DF"/>
    <w:rsid w:val="00E52506"/>
    <w:rsid w:val="00E52F09"/>
    <w:rsid w:val="00E55EED"/>
    <w:rsid w:val="00E60638"/>
    <w:rsid w:val="00E63E90"/>
    <w:rsid w:val="00E65A9B"/>
    <w:rsid w:val="00E66CD5"/>
    <w:rsid w:val="00E71C92"/>
    <w:rsid w:val="00E74B83"/>
    <w:rsid w:val="00E752F7"/>
    <w:rsid w:val="00E77BA0"/>
    <w:rsid w:val="00E8123A"/>
    <w:rsid w:val="00E82C15"/>
    <w:rsid w:val="00E8648E"/>
    <w:rsid w:val="00E90F2B"/>
    <w:rsid w:val="00E91F9B"/>
    <w:rsid w:val="00E9309C"/>
    <w:rsid w:val="00E9474A"/>
    <w:rsid w:val="00E94CD4"/>
    <w:rsid w:val="00E94F43"/>
    <w:rsid w:val="00E952C8"/>
    <w:rsid w:val="00E96502"/>
    <w:rsid w:val="00E96AC8"/>
    <w:rsid w:val="00EA1667"/>
    <w:rsid w:val="00EA38E7"/>
    <w:rsid w:val="00EA449A"/>
    <w:rsid w:val="00EA784A"/>
    <w:rsid w:val="00EA78E9"/>
    <w:rsid w:val="00EA7F87"/>
    <w:rsid w:val="00EB0224"/>
    <w:rsid w:val="00EB0DF6"/>
    <w:rsid w:val="00EB110D"/>
    <w:rsid w:val="00EB32BA"/>
    <w:rsid w:val="00EB4BB0"/>
    <w:rsid w:val="00EB64AB"/>
    <w:rsid w:val="00EB716D"/>
    <w:rsid w:val="00EB719B"/>
    <w:rsid w:val="00EC152C"/>
    <w:rsid w:val="00EC2D13"/>
    <w:rsid w:val="00EC3D70"/>
    <w:rsid w:val="00EC60DB"/>
    <w:rsid w:val="00EC7FBD"/>
    <w:rsid w:val="00ED0500"/>
    <w:rsid w:val="00ED3388"/>
    <w:rsid w:val="00ED5A42"/>
    <w:rsid w:val="00EE1929"/>
    <w:rsid w:val="00EE1F50"/>
    <w:rsid w:val="00EE251A"/>
    <w:rsid w:val="00EE37D4"/>
    <w:rsid w:val="00EE3971"/>
    <w:rsid w:val="00EE46C7"/>
    <w:rsid w:val="00EE74FF"/>
    <w:rsid w:val="00EE778F"/>
    <w:rsid w:val="00EF0A6C"/>
    <w:rsid w:val="00EF0F71"/>
    <w:rsid w:val="00EF2806"/>
    <w:rsid w:val="00EF523D"/>
    <w:rsid w:val="00EF56AC"/>
    <w:rsid w:val="00F00CF4"/>
    <w:rsid w:val="00F079FA"/>
    <w:rsid w:val="00F07DAF"/>
    <w:rsid w:val="00F10156"/>
    <w:rsid w:val="00F14B25"/>
    <w:rsid w:val="00F1524D"/>
    <w:rsid w:val="00F15C2E"/>
    <w:rsid w:val="00F25372"/>
    <w:rsid w:val="00F25596"/>
    <w:rsid w:val="00F31677"/>
    <w:rsid w:val="00F32C8A"/>
    <w:rsid w:val="00F332EB"/>
    <w:rsid w:val="00F34F60"/>
    <w:rsid w:val="00F36299"/>
    <w:rsid w:val="00F41BF1"/>
    <w:rsid w:val="00F435DD"/>
    <w:rsid w:val="00F5633C"/>
    <w:rsid w:val="00F57DD9"/>
    <w:rsid w:val="00F62E44"/>
    <w:rsid w:val="00F63B21"/>
    <w:rsid w:val="00F64844"/>
    <w:rsid w:val="00F64A7F"/>
    <w:rsid w:val="00F6525C"/>
    <w:rsid w:val="00F717D7"/>
    <w:rsid w:val="00F72449"/>
    <w:rsid w:val="00F75D72"/>
    <w:rsid w:val="00F809C3"/>
    <w:rsid w:val="00F80F1B"/>
    <w:rsid w:val="00F8114E"/>
    <w:rsid w:val="00F84FC3"/>
    <w:rsid w:val="00F86874"/>
    <w:rsid w:val="00F86D5F"/>
    <w:rsid w:val="00F90198"/>
    <w:rsid w:val="00F90212"/>
    <w:rsid w:val="00F916F3"/>
    <w:rsid w:val="00F93360"/>
    <w:rsid w:val="00F966CC"/>
    <w:rsid w:val="00F96A0E"/>
    <w:rsid w:val="00FA0881"/>
    <w:rsid w:val="00FA3FE6"/>
    <w:rsid w:val="00FA606C"/>
    <w:rsid w:val="00FA6124"/>
    <w:rsid w:val="00FA6E7F"/>
    <w:rsid w:val="00FA7F77"/>
    <w:rsid w:val="00FB1841"/>
    <w:rsid w:val="00FB1E62"/>
    <w:rsid w:val="00FB37DE"/>
    <w:rsid w:val="00FB4359"/>
    <w:rsid w:val="00FB4E5D"/>
    <w:rsid w:val="00FB627F"/>
    <w:rsid w:val="00FB653D"/>
    <w:rsid w:val="00FB68C5"/>
    <w:rsid w:val="00FC02E7"/>
    <w:rsid w:val="00FC2E29"/>
    <w:rsid w:val="00FC3982"/>
    <w:rsid w:val="00FC3E11"/>
    <w:rsid w:val="00FC4A0D"/>
    <w:rsid w:val="00FC5261"/>
    <w:rsid w:val="00FC53C1"/>
    <w:rsid w:val="00FC57E1"/>
    <w:rsid w:val="00FC5C5B"/>
    <w:rsid w:val="00FC6781"/>
    <w:rsid w:val="00FC67A4"/>
    <w:rsid w:val="00FD09E9"/>
    <w:rsid w:val="00FD0CA4"/>
    <w:rsid w:val="00FD58B4"/>
    <w:rsid w:val="00FD61CE"/>
    <w:rsid w:val="00FD639D"/>
    <w:rsid w:val="00FE0A35"/>
    <w:rsid w:val="00FE35B8"/>
    <w:rsid w:val="00FE3786"/>
    <w:rsid w:val="00FE498E"/>
    <w:rsid w:val="00FE4F57"/>
    <w:rsid w:val="00FE667D"/>
    <w:rsid w:val="00FE740A"/>
    <w:rsid w:val="00FE7BCE"/>
    <w:rsid w:val="00FF167D"/>
    <w:rsid w:val="00FF61F3"/>
    <w:rsid w:val="00FF635A"/>
    <w:rsid w:val="013E6E1F"/>
    <w:rsid w:val="0157146C"/>
    <w:rsid w:val="0173269F"/>
    <w:rsid w:val="018006C2"/>
    <w:rsid w:val="01D10F1A"/>
    <w:rsid w:val="01D167FF"/>
    <w:rsid w:val="0222440D"/>
    <w:rsid w:val="025832D3"/>
    <w:rsid w:val="025C676A"/>
    <w:rsid w:val="02672476"/>
    <w:rsid w:val="027F3489"/>
    <w:rsid w:val="02884BA0"/>
    <w:rsid w:val="02A83AA2"/>
    <w:rsid w:val="02DA39F8"/>
    <w:rsid w:val="030D3102"/>
    <w:rsid w:val="030E0D9F"/>
    <w:rsid w:val="03161728"/>
    <w:rsid w:val="03600B27"/>
    <w:rsid w:val="039E77C9"/>
    <w:rsid w:val="03D60984"/>
    <w:rsid w:val="03E21DD2"/>
    <w:rsid w:val="046D7517"/>
    <w:rsid w:val="049251C3"/>
    <w:rsid w:val="04B14F1D"/>
    <w:rsid w:val="04F056CF"/>
    <w:rsid w:val="053B10D6"/>
    <w:rsid w:val="057C13C3"/>
    <w:rsid w:val="058F3A4A"/>
    <w:rsid w:val="05A72B0C"/>
    <w:rsid w:val="05AC0EBA"/>
    <w:rsid w:val="05B628A5"/>
    <w:rsid w:val="05C244DA"/>
    <w:rsid w:val="05D50B6A"/>
    <w:rsid w:val="061E588B"/>
    <w:rsid w:val="062C10BA"/>
    <w:rsid w:val="0641377B"/>
    <w:rsid w:val="06493519"/>
    <w:rsid w:val="06545855"/>
    <w:rsid w:val="06664CF5"/>
    <w:rsid w:val="06D34FD5"/>
    <w:rsid w:val="06EF2D4C"/>
    <w:rsid w:val="070659F4"/>
    <w:rsid w:val="07467675"/>
    <w:rsid w:val="074A7CA8"/>
    <w:rsid w:val="07990C95"/>
    <w:rsid w:val="07B14166"/>
    <w:rsid w:val="07BE62CF"/>
    <w:rsid w:val="07EB09BE"/>
    <w:rsid w:val="081B3F39"/>
    <w:rsid w:val="082D7509"/>
    <w:rsid w:val="08371D3F"/>
    <w:rsid w:val="08937E41"/>
    <w:rsid w:val="089D2CA0"/>
    <w:rsid w:val="08B7047D"/>
    <w:rsid w:val="08E73603"/>
    <w:rsid w:val="09614814"/>
    <w:rsid w:val="09B96F76"/>
    <w:rsid w:val="09CA4E5F"/>
    <w:rsid w:val="09CC404B"/>
    <w:rsid w:val="09CD7A0E"/>
    <w:rsid w:val="09D92FBA"/>
    <w:rsid w:val="0A156ABE"/>
    <w:rsid w:val="0A5A5E53"/>
    <w:rsid w:val="0A614DC9"/>
    <w:rsid w:val="0A83110A"/>
    <w:rsid w:val="0A8939F8"/>
    <w:rsid w:val="0A9955BB"/>
    <w:rsid w:val="0A9B6164"/>
    <w:rsid w:val="0AE92593"/>
    <w:rsid w:val="0B325009"/>
    <w:rsid w:val="0B4727BB"/>
    <w:rsid w:val="0B7775F3"/>
    <w:rsid w:val="0B9A670B"/>
    <w:rsid w:val="0BF21C93"/>
    <w:rsid w:val="0C215458"/>
    <w:rsid w:val="0C3F7D74"/>
    <w:rsid w:val="0C4D5892"/>
    <w:rsid w:val="0C502C42"/>
    <w:rsid w:val="0C687589"/>
    <w:rsid w:val="0C887284"/>
    <w:rsid w:val="0CA24B98"/>
    <w:rsid w:val="0CCE4D4B"/>
    <w:rsid w:val="0CCF68BD"/>
    <w:rsid w:val="0D1D5570"/>
    <w:rsid w:val="0DD028B8"/>
    <w:rsid w:val="0DDF44D2"/>
    <w:rsid w:val="0DED57A7"/>
    <w:rsid w:val="0E3A06C5"/>
    <w:rsid w:val="0EBE3D9B"/>
    <w:rsid w:val="0F377A70"/>
    <w:rsid w:val="0F536A8C"/>
    <w:rsid w:val="0F9D1093"/>
    <w:rsid w:val="0FBB494D"/>
    <w:rsid w:val="10056CD1"/>
    <w:rsid w:val="10060813"/>
    <w:rsid w:val="101B7725"/>
    <w:rsid w:val="10510D2B"/>
    <w:rsid w:val="10557C8D"/>
    <w:rsid w:val="1067187F"/>
    <w:rsid w:val="10813182"/>
    <w:rsid w:val="10AA1CF3"/>
    <w:rsid w:val="10BB33AB"/>
    <w:rsid w:val="10EF51C3"/>
    <w:rsid w:val="10F43805"/>
    <w:rsid w:val="10FF210C"/>
    <w:rsid w:val="114E421F"/>
    <w:rsid w:val="115E01DA"/>
    <w:rsid w:val="11766A8F"/>
    <w:rsid w:val="11812847"/>
    <w:rsid w:val="118B6B05"/>
    <w:rsid w:val="11A5600F"/>
    <w:rsid w:val="11BA0D26"/>
    <w:rsid w:val="11DE7A7D"/>
    <w:rsid w:val="11F36BAF"/>
    <w:rsid w:val="1209205B"/>
    <w:rsid w:val="12127CC9"/>
    <w:rsid w:val="12266F4A"/>
    <w:rsid w:val="124E374D"/>
    <w:rsid w:val="12553EE1"/>
    <w:rsid w:val="125710E8"/>
    <w:rsid w:val="12587504"/>
    <w:rsid w:val="1288550F"/>
    <w:rsid w:val="12AD749C"/>
    <w:rsid w:val="12B51F62"/>
    <w:rsid w:val="12E96B1B"/>
    <w:rsid w:val="13DC7CFF"/>
    <w:rsid w:val="14180F13"/>
    <w:rsid w:val="1433606D"/>
    <w:rsid w:val="143E3EFF"/>
    <w:rsid w:val="146B0932"/>
    <w:rsid w:val="147C72F5"/>
    <w:rsid w:val="149D49E6"/>
    <w:rsid w:val="14D64CFE"/>
    <w:rsid w:val="14F12BE2"/>
    <w:rsid w:val="14F67130"/>
    <w:rsid w:val="150E6A01"/>
    <w:rsid w:val="15207FD7"/>
    <w:rsid w:val="15314431"/>
    <w:rsid w:val="155838BF"/>
    <w:rsid w:val="15754EB8"/>
    <w:rsid w:val="15EA4303"/>
    <w:rsid w:val="160D2557"/>
    <w:rsid w:val="16124D14"/>
    <w:rsid w:val="162B4B2F"/>
    <w:rsid w:val="165D6D88"/>
    <w:rsid w:val="165E31EE"/>
    <w:rsid w:val="165F0C7D"/>
    <w:rsid w:val="165F3FCF"/>
    <w:rsid w:val="166A0A8F"/>
    <w:rsid w:val="16BE367D"/>
    <w:rsid w:val="16DA6555"/>
    <w:rsid w:val="16E71589"/>
    <w:rsid w:val="16F0635B"/>
    <w:rsid w:val="16FF7D6A"/>
    <w:rsid w:val="171055C8"/>
    <w:rsid w:val="172B16AA"/>
    <w:rsid w:val="173857E6"/>
    <w:rsid w:val="173E6413"/>
    <w:rsid w:val="17672DD3"/>
    <w:rsid w:val="176F3820"/>
    <w:rsid w:val="178C6867"/>
    <w:rsid w:val="179164FC"/>
    <w:rsid w:val="17B003C9"/>
    <w:rsid w:val="17D36362"/>
    <w:rsid w:val="18085D64"/>
    <w:rsid w:val="18263AD4"/>
    <w:rsid w:val="185F1E15"/>
    <w:rsid w:val="18C2469C"/>
    <w:rsid w:val="18D76CC5"/>
    <w:rsid w:val="190B0C48"/>
    <w:rsid w:val="19767FA3"/>
    <w:rsid w:val="19AC210A"/>
    <w:rsid w:val="19D34082"/>
    <w:rsid w:val="19FD2C86"/>
    <w:rsid w:val="1A4302FA"/>
    <w:rsid w:val="1A451EA5"/>
    <w:rsid w:val="1A5572D9"/>
    <w:rsid w:val="1A57710F"/>
    <w:rsid w:val="1A910291"/>
    <w:rsid w:val="1AAE3F81"/>
    <w:rsid w:val="1AC2341E"/>
    <w:rsid w:val="1AD82DAC"/>
    <w:rsid w:val="1B0B13D3"/>
    <w:rsid w:val="1B2C1E63"/>
    <w:rsid w:val="1B2F5F02"/>
    <w:rsid w:val="1B3E3557"/>
    <w:rsid w:val="1B6341DD"/>
    <w:rsid w:val="1B653C2B"/>
    <w:rsid w:val="1B8B4075"/>
    <w:rsid w:val="1BE8762F"/>
    <w:rsid w:val="1BED0EBF"/>
    <w:rsid w:val="1BF9605A"/>
    <w:rsid w:val="1C1820AB"/>
    <w:rsid w:val="1C457CA3"/>
    <w:rsid w:val="1C72652D"/>
    <w:rsid w:val="1C9062D5"/>
    <w:rsid w:val="1CA474A4"/>
    <w:rsid w:val="1CAE0268"/>
    <w:rsid w:val="1CB4134E"/>
    <w:rsid w:val="1CB909A4"/>
    <w:rsid w:val="1D1F510E"/>
    <w:rsid w:val="1D297F6B"/>
    <w:rsid w:val="1D3A537A"/>
    <w:rsid w:val="1D4968B9"/>
    <w:rsid w:val="1D4F02C5"/>
    <w:rsid w:val="1D616594"/>
    <w:rsid w:val="1DD950A0"/>
    <w:rsid w:val="1DF74E37"/>
    <w:rsid w:val="1E594203"/>
    <w:rsid w:val="1E5B1377"/>
    <w:rsid w:val="1E8B6A70"/>
    <w:rsid w:val="1EBB1BE7"/>
    <w:rsid w:val="1F2518F0"/>
    <w:rsid w:val="1F5F3A9B"/>
    <w:rsid w:val="1F616F85"/>
    <w:rsid w:val="1F65BBAC"/>
    <w:rsid w:val="1F667925"/>
    <w:rsid w:val="1F6F31B9"/>
    <w:rsid w:val="1F8E7B91"/>
    <w:rsid w:val="1FC53CFD"/>
    <w:rsid w:val="1FD60F68"/>
    <w:rsid w:val="20625897"/>
    <w:rsid w:val="20926484"/>
    <w:rsid w:val="209B1873"/>
    <w:rsid w:val="209B5871"/>
    <w:rsid w:val="20A1575E"/>
    <w:rsid w:val="20A21223"/>
    <w:rsid w:val="20F070A1"/>
    <w:rsid w:val="20FA257A"/>
    <w:rsid w:val="21204C16"/>
    <w:rsid w:val="212F710B"/>
    <w:rsid w:val="215C5A31"/>
    <w:rsid w:val="21696838"/>
    <w:rsid w:val="21DA6F66"/>
    <w:rsid w:val="21E5205E"/>
    <w:rsid w:val="21FA7259"/>
    <w:rsid w:val="222B449D"/>
    <w:rsid w:val="2241067B"/>
    <w:rsid w:val="22600256"/>
    <w:rsid w:val="227702E0"/>
    <w:rsid w:val="227D325D"/>
    <w:rsid w:val="22C30FDD"/>
    <w:rsid w:val="22E13B50"/>
    <w:rsid w:val="22EA5D72"/>
    <w:rsid w:val="23137742"/>
    <w:rsid w:val="23661DCD"/>
    <w:rsid w:val="23964A1C"/>
    <w:rsid w:val="2434197C"/>
    <w:rsid w:val="24875A24"/>
    <w:rsid w:val="24C052F7"/>
    <w:rsid w:val="24C27659"/>
    <w:rsid w:val="25004E22"/>
    <w:rsid w:val="25005EFE"/>
    <w:rsid w:val="250E49F2"/>
    <w:rsid w:val="252B3D1B"/>
    <w:rsid w:val="252E5E9C"/>
    <w:rsid w:val="253634F0"/>
    <w:rsid w:val="25655CEA"/>
    <w:rsid w:val="2591377F"/>
    <w:rsid w:val="259F1096"/>
    <w:rsid w:val="25CE64B1"/>
    <w:rsid w:val="25DC7BF4"/>
    <w:rsid w:val="25EC4767"/>
    <w:rsid w:val="26046F12"/>
    <w:rsid w:val="26121868"/>
    <w:rsid w:val="2646790C"/>
    <w:rsid w:val="265A2525"/>
    <w:rsid w:val="26813125"/>
    <w:rsid w:val="2685028B"/>
    <w:rsid w:val="26C4425E"/>
    <w:rsid w:val="271804EB"/>
    <w:rsid w:val="27264184"/>
    <w:rsid w:val="27446D55"/>
    <w:rsid w:val="274E73BE"/>
    <w:rsid w:val="27595274"/>
    <w:rsid w:val="277168A8"/>
    <w:rsid w:val="277B51EB"/>
    <w:rsid w:val="27ED3BE2"/>
    <w:rsid w:val="27F30FE8"/>
    <w:rsid w:val="282C4C82"/>
    <w:rsid w:val="285C14C0"/>
    <w:rsid w:val="288709AC"/>
    <w:rsid w:val="2890116A"/>
    <w:rsid w:val="289F1AB0"/>
    <w:rsid w:val="28DF7A3C"/>
    <w:rsid w:val="28ED2C7F"/>
    <w:rsid w:val="29337085"/>
    <w:rsid w:val="29363FD9"/>
    <w:rsid w:val="29485CC9"/>
    <w:rsid w:val="29F709F3"/>
    <w:rsid w:val="2A2030E5"/>
    <w:rsid w:val="2A4F3683"/>
    <w:rsid w:val="2A5D3F5C"/>
    <w:rsid w:val="2ACD4158"/>
    <w:rsid w:val="2AED28A3"/>
    <w:rsid w:val="2AEE7D9A"/>
    <w:rsid w:val="2B9116B8"/>
    <w:rsid w:val="2BC929C8"/>
    <w:rsid w:val="2C010F53"/>
    <w:rsid w:val="2C035C51"/>
    <w:rsid w:val="2C1330AE"/>
    <w:rsid w:val="2C1D74E2"/>
    <w:rsid w:val="2C1E3033"/>
    <w:rsid w:val="2C2C11A9"/>
    <w:rsid w:val="2C4D1F50"/>
    <w:rsid w:val="2C8C5356"/>
    <w:rsid w:val="2CA3579F"/>
    <w:rsid w:val="2CA67AC7"/>
    <w:rsid w:val="2D455AB1"/>
    <w:rsid w:val="2D94785E"/>
    <w:rsid w:val="2DAA0829"/>
    <w:rsid w:val="2DBA69B5"/>
    <w:rsid w:val="2E14028F"/>
    <w:rsid w:val="2E2A7721"/>
    <w:rsid w:val="2E5C4DAB"/>
    <w:rsid w:val="2EBC05C2"/>
    <w:rsid w:val="2EE60BCA"/>
    <w:rsid w:val="2EE97867"/>
    <w:rsid w:val="2F2849BC"/>
    <w:rsid w:val="2F2F4444"/>
    <w:rsid w:val="2F4B1ABE"/>
    <w:rsid w:val="2F4C7DA3"/>
    <w:rsid w:val="2F607BEC"/>
    <w:rsid w:val="2FC242FE"/>
    <w:rsid w:val="2FF67C1F"/>
    <w:rsid w:val="304E7940"/>
    <w:rsid w:val="305B0D0D"/>
    <w:rsid w:val="30630A24"/>
    <w:rsid w:val="30874757"/>
    <w:rsid w:val="30913124"/>
    <w:rsid w:val="30AA617A"/>
    <w:rsid w:val="30B36BB1"/>
    <w:rsid w:val="30C24884"/>
    <w:rsid w:val="30F46739"/>
    <w:rsid w:val="30FF31E5"/>
    <w:rsid w:val="311A2555"/>
    <w:rsid w:val="312446C4"/>
    <w:rsid w:val="31340518"/>
    <w:rsid w:val="314F29F6"/>
    <w:rsid w:val="31832BBF"/>
    <w:rsid w:val="3185186D"/>
    <w:rsid w:val="31B2429B"/>
    <w:rsid w:val="31E52FAF"/>
    <w:rsid w:val="31E54E62"/>
    <w:rsid w:val="31E83DC4"/>
    <w:rsid w:val="31ED2FE6"/>
    <w:rsid w:val="3286002F"/>
    <w:rsid w:val="329C65EF"/>
    <w:rsid w:val="329D2713"/>
    <w:rsid w:val="32BB6D12"/>
    <w:rsid w:val="32C83C90"/>
    <w:rsid w:val="32CE64E8"/>
    <w:rsid w:val="32EE4914"/>
    <w:rsid w:val="3309673C"/>
    <w:rsid w:val="332901F1"/>
    <w:rsid w:val="337376BE"/>
    <w:rsid w:val="33955BE4"/>
    <w:rsid w:val="33F72BEC"/>
    <w:rsid w:val="341A5F6C"/>
    <w:rsid w:val="343264A8"/>
    <w:rsid w:val="34385074"/>
    <w:rsid w:val="34392C75"/>
    <w:rsid w:val="344963C0"/>
    <w:rsid w:val="344C4CA6"/>
    <w:rsid w:val="34597D6A"/>
    <w:rsid w:val="3482194F"/>
    <w:rsid w:val="348C744F"/>
    <w:rsid w:val="34BE1955"/>
    <w:rsid w:val="34CF4B39"/>
    <w:rsid w:val="34D43FBF"/>
    <w:rsid w:val="34D523DE"/>
    <w:rsid w:val="34EE34A0"/>
    <w:rsid w:val="350727B3"/>
    <w:rsid w:val="353E7E45"/>
    <w:rsid w:val="355C3E89"/>
    <w:rsid w:val="35761386"/>
    <w:rsid w:val="35AA6169"/>
    <w:rsid w:val="35B5220F"/>
    <w:rsid w:val="35D67134"/>
    <w:rsid w:val="35FC7F70"/>
    <w:rsid w:val="35FF82BA"/>
    <w:rsid w:val="36533D10"/>
    <w:rsid w:val="369C4D87"/>
    <w:rsid w:val="36A51228"/>
    <w:rsid w:val="36AC1CD0"/>
    <w:rsid w:val="36BA1A6F"/>
    <w:rsid w:val="36BF6ECD"/>
    <w:rsid w:val="36DF2879"/>
    <w:rsid w:val="36F21E19"/>
    <w:rsid w:val="371051B5"/>
    <w:rsid w:val="3729368C"/>
    <w:rsid w:val="37D12C3D"/>
    <w:rsid w:val="37E629F0"/>
    <w:rsid w:val="38103233"/>
    <w:rsid w:val="38BE13DB"/>
    <w:rsid w:val="38CD2426"/>
    <w:rsid w:val="38F8232F"/>
    <w:rsid w:val="39061E6C"/>
    <w:rsid w:val="39921A71"/>
    <w:rsid w:val="39CB3764"/>
    <w:rsid w:val="39F33306"/>
    <w:rsid w:val="3A162B77"/>
    <w:rsid w:val="3A55692D"/>
    <w:rsid w:val="3AAA7E69"/>
    <w:rsid w:val="3ABD673B"/>
    <w:rsid w:val="3ABE1B66"/>
    <w:rsid w:val="3ADF64BD"/>
    <w:rsid w:val="3AEC0481"/>
    <w:rsid w:val="3AFF1360"/>
    <w:rsid w:val="3B7B3768"/>
    <w:rsid w:val="3B9E1819"/>
    <w:rsid w:val="3BA077D2"/>
    <w:rsid w:val="3C10247C"/>
    <w:rsid w:val="3C3C71E7"/>
    <w:rsid w:val="3C5B3293"/>
    <w:rsid w:val="3C990FCE"/>
    <w:rsid w:val="3CA85036"/>
    <w:rsid w:val="3CB36071"/>
    <w:rsid w:val="3CC50F8A"/>
    <w:rsid w:val="3D1741C6"/>
    <w:rsid w:val="3D624A2B"/>
    <w:rsid w:val="3DB64448"/>
    <w:rsid w:val="3DEB0AF9"/>
    <w:rsid w:val="3E047D7C"/>
    <w:rsid w:val="3E0C79CB"/>
    <w:rsid w:val="3E31790D"/>
    <w:rsid w:val="3E4203B8"/>
    <w:rsid w:val="3E67422D"/>
    <w:rsid w:val="3E676F2F"/>
    <w:rsid w:val="3E9877D1"/>
    <w:rsid w:val="3EA90890"/>
    <w:rsid w:val="3EDB0493"/>
    <w:rsid w:val="3F31662D"/>
    <w:rsid w:val="3F3859BE"/>
    <w:rsid w:val="3F6C393F"/>
    <w:rsid w:val="3F6F7B3B"/>
    <w:rsid w:val="3F8B2EC7"/>
    <w:rsid w:val="3F8E5444"/>
    <w:rsid w:val="3F9B8D03"/>
    <w:rsid w:val="3FB7632F"/>
    <w:rsid w:val="3FE8400D"/>
    <w:rsid w:val="3FE87ABC"/>
    <w:rsid w:val="4006032E"/>
    <w:rsid w:val="400E2037"/>
    <w:rsid w:val="40121ECC"/>
    <w:rsid w:val="40A21941"/>
    <w:rsid w:val="40B13F0F"/>
    <w:rsid w:val="40C75132"/>
    <w:rsid w:val="40CB26F8"/>
    <w:rsid w:val="40E65973"/>
    <w:rsid w:val="411D24A7"/>
    <w:rsid w:val="41293824"/>
    <w:rsid w:val="414C2D91"/>
    <w:rsid w:val="414F6A0C"/>
    <w:rsid w:val="41DF1BDE"/>
    <w:rsid w:val="4206180B"/>
    <w:rsid w:val="420D355E"/>
    <w:rsid w:val="421321D0"/>
    <w:rsid w:val="42230AD2"/>
    <w:rsid w:val="42830364"/>
    <w:rsid w:val="42A20843"/>
    <w:rsid w:val="42C14E8A"/>
    <w:rsid w:val="42DB5FF8"/>
    <w:rsid w:val="430A11E5"/>
    <w:rsid w:val="432F4D96"/>
    <w:rsid w:val="434F1603"/>
    <w:rsid w:val="43546590"/>
    <w:rsid w:val="436A041B"/>
    <w:rsid w:val="43913638"/>
    <w:rsid w:val="43C6460B"/>
    <w:rsid w:val="44283CF7"/>
    <w:rsid w:val="442D22F4"/>
    <w:rsid w:val="44A7346F"/>
    <w:rsid w:val="44B854AD"/>
    <w:rsid w:val="44DA2127"/>
    <w:rsid w:val="456A616D"/>
    <w:rsid w:val="4576520D"/>
    <w:rsid w:val="457C4AF8"/>
    <w:rsid w:val="4582210E"/>
    <w:rsid w:val="459736E0"/>
    <w:rsid w:val="46153795"/>
    <w:rsid w:val="46454EEA"/>
    <w:rsid w:val="465272F1"/>
    <w:rsid w:val="467909EF"/>
    <w:rsid w:val="467C6E7E"/>
    <w:rsid w:val="46B9262E"/>
    <w:rsid w:val="46C93D6D"/>
    <w:rsid w:val="471E5337"/>
    <w:rsid w:val="474E653F"/>
    <w:rsid w:val="475FA65C"/>
    <w:rsid w:val="477B75CE"/>
    <w:rsid w:val="47952A92"/>
    <w:rsid w:val="47A22822"/>
    <w:rsid w:val="47A85ABC"/>
    <w:rsid w:val="47A876DF"/>
    <w:rsid w:val="47E764D4"/>
    <w:rsid w:val="47EC18CB"/>
    <w:rsid w:val="484E3707"/>
    <w:rsid w:val="48DA7B6B"/>
    <w:rsid w:val="48E956A6"/>
    <w:rsid w:val="490161AE"/>
    <w:rsid w:val="491C7293"/>
    <w:rsid w:val="492E1921"/>
    <w:rsid w:val="49437E06"/>
    <w:rsid w:val="496438D9"/>
    <w:rsid w:val="496B1894"/>
    <w:rsid w:val="497E2B9A"/>
    <w:rsid w:val="499B6D9E"/>
    <w:rsid w:val="49D35547"/>
    <w:rsid w:val="4A150B92"/>
    <w:rsid w:val="4A38723F"/>
    <w:rsid w:val="4A8253F8"/>
    <w:rsid w:val="4A8E05AE"/>
    <w:rsid w:val="4AB01DB8"/>
    <w:rsid w:val="4B6743EA"/>
    <w:rsid w:val="4B9551A4"/>
    <w:rsid w:val="4BA52BB9"/>
    <w:rsid w:val="4C0E5B0E"/>
    <w:rsid w:val="4C1651AA"/>
    <w:rsid w:val="4C5930A4"/>
    <w:rsid w:val="4CA869FD"/>
    <w:rsid w:val="4CC06B30"/>
    <w:rsid w:val="4D1A70D0"/>
    <w:rsid w:val="4D602123"/>
    <w:rsid w:val="4D703BAA"/>
    <w:rsid w:val="4DB629D9"/>
    <w:rsid w:val="4DBD5A3B"/>
    <w:rsid w:val="4DCA2028"/>
    <w:rsid w:val="4E4304D8"/>
    <w:rsid w:val="4E4837C9"/>
    <w:rsid w:val="4E5F732B"/>
    <w:rsid w:val="4E742810"/>
    <w:rsid w:val="4E7B76FB"/>
    <w:rsid w:val="4E8E134B"/>
    <w:rsid w:val="4EA41438"/>
    <w:rsid w:val="4ECC7CA4"/>
    <w:rsid w:val="4EF70D43"/>
    <w:rsid w:val="4F0A109E"/>
    <w:rsid w:val="4F0E20D9"/>
    <w:rsid w:val="4F10078B"/>
    <w:rsid w:val="4F112B8A"/>
    <w:rsid w:val="4F25025E"/>
    <w:rsid w:val="4F355476"/>
    <w:rsid w:val="4F7C475B"/>
    <w:rsid w:val="4F945A97"/>
    <w:rsid w:val="4FB80EC3"/>
    <w:rsid w:val="4FFF0085"/>
    <w:rsid w:val="50374807"/>
    <w:rsid w:val="50552885"/>
    <w:rsid w:val="507A1C0B"/>
    <w:rsid w:val="50AA7004"/>
    <w:rsid w:val="50EB1AAE"/>
    <w:rsid w:val="50F6575E"/>
    <w:rsid w:val="512B756A"/>
    <w:rsid w:val="515C37CB"/>
    <w:rsid w:val="51B33410"/>
    <w:rsid w:val="51DD7087"/>
    <w:rsid w:val="521102F7"/>
    <w:rsid w:val="523113FE"/>
    <w:rsid w:val="52407A84"/>
    <w:rsid w:val="5253098E"/>
    <w:rsid w:val="52622C3B"/>
    <w:rsid w:val="52A379FF"/>
    <w:rsid w:val="52AB5833"/>
    <w:rsid w:val="539066AE"/>
    <w:rsid w:val="5393164E"/>
    <w:rsid w:val="54043D2D"/>
    <w:rsid w:val="541E6A18"/>
    <w:rsid w:val="54336CC9"/>
    <w:rsid w:val="545F186C"/>
    <w:rsid w:val="546E006A"/>
    <w:rsid w:val="54790273"/>
    <w:rsid w:val="54A41BB7"/>
    <w:rsid w:val="55354CEC"/>
    <w:rsid w:val="55546EF7"/>
    <w:rsid w:val="55603899"/>
    <w:rsid w:val="55634081"/>
    <w:rsid w:val="5590539A"/>
    <w:rsid w:val="55BD632B"/>
    <w:rsid w:val="55E11801"/>
    <w:rsid w:val="56202BBA"/>
    <w:rsid w:val="565D4A9F"/>
    <w:rsid w:val="567A1E74"/>
    <w:rsid w:val="568B5936"/>
    <w:rsid w:val="569B5382"/>
    <w:rsid w:val="56A874FB"/>
    <w:rsid w:val="56D22FEF"/>
    <w:rsid w:val="56E46CB3"/>
    <w:rsid w:val="56EE4E8B"/>
    <w:rsid w:val="56EF549F"/>
    <w:rsid w:val="570F6567"/>
    <w:rsid w:val="573F773F"/>
    <w:rsid w:val="576538D4"/>
    <w:rsid w:val="579A2676"/>
    <w:rsid w:val="57AD55A4"/>
    <w:rsid w:val="57E722A5"/>
    <w:rsid w:val="582A2A44"/>
    <w:rsid w:val="58847AF3"/>
    <w:rsid w:val="58AF7D16"/>
    <w:rsid w:val="58C30248"/>
    <w:rsid w:val="590C70AD"/>
    <w:rsid w:val="590C7970"/>
    <w:rsid w:val="594800A4"/>
    <w:rsid w:val="59557573"/>
    <w:rsid w:val="59A86F5F"/>
    <w:rsid w:val="59C11140"/>
    <w:rsid w:val="59D223A9"/>
    <w:rsid w:val="59E06FAB"/>
    <w:rsid w:val="59F850AC"/>
    <w:rsid w:val="5A1776A6"/>
    <w:rsid w:val="5A3E1CB4"/>
    <w:rsid w:val="5AA56A44"/>
    <w:rsid w:val="5AAE2C06"/>
    <w:rsid w:val="5ABB0655"/>
    <w:rsid w:val="5AC71F19"/>
    <w:rsid w:val="5ACE0E10"/>
    <w:rsid w:val="5AE00D48"/>
    <w:rsid w:val="5AE45EB2"/>
    <w:rsid w:val="5B476110"/>
    <w:rsid w:val="5B687DE3"/>
    <w:rsid w:val="5B843B67"/>
    <w:rsid w:val="5BAF6C35"/>
    <w:rsid w:val="5BCB47E3"/>
    <w:rsid w:val="5BE508A9"/>
    <w:rsid w:val="5C0A7313"/>
    <w:rsid w:val="5C1B6F3E"/>
    <w:rsid w:val="5C703DAD"/>
    <w:rsid w:val="5C722B7A"/>
    <w:rsid w:val="5C913A61"/>
    <w:rsid w:val="5C92494D"/>
    <w:rsid w:val="5C9B4EDB"/>
    <w:rsid w:val="5CBF70D6"/>
    <w:rsid w:val="5CC76508"/>
    <w:rsid w:val="5CE45005"/>
    <w:rsid w:val="5CE768A3"/>
    <w:rsid w:val="5DB50E8D"/>
    <w:rsid w:val="5DCF2075"/>
    <w:rsid w:val="5DFB43B4"/>
    <w:rsid w:val="5E00618F"/>
    <w:rsid w:val="5E043929"/>
    <w:rsid w:val="5E143B2A"/>
    <w:rsid w:val="5E47584B"/>
    <w:rsid w:val="5E496E61"/>
    <w:rsid w:val="5E6F3130"/>
    <w:rsid w:val="5E7F4FE5"/>
    <w:rsid w:val="5EDF35C2"/>
    <w:rsid w:val="5EE00488"/>
    <w:rsid w:val="5EE7A459"/>
    <w:rsid w:val="5F87F818"/>
    <w:rsid w:val="5F986691"/>
    <w:rsid w:val="5F9C3975"/>
    <w:rsid w:val="5FBED1E6"/>
    <w:rsid w:val="5FC0301D"/>
    <w:rsid w:val="5FC1377F"/>
    <w:rsid w:val="5FC3426A"/>
    <w:rsid w:val="5FDE6661"/>
    <w:rsid w:val="5FEB10AB"/>
    <w:rsid w:val="5FEB4083"/>
    <w:rsid w:val="602E52B0"/>
    <w:rsid w:val="604C140E"/>
    <w:rsid w:val="6150731B"/>
    <w:rsid w:val="618961B1"/>
    <w:rsid w:val="618D2FAD"/>
    <w:rsid w:val="619012B7"/>
    <w:rsid w:val="6190286D"/>
    <w:rsid w:val="61974095"/>
    <w:rsid w:val="61CA3DC8"/>
    <w:rsid w:val="620D1CE8"/>
    <w:rsid w:val="621C0E74"/>
    <w:rsid w:val="624D2AF3"/>
    <w:rsid w:val="626C37C5"/>
    <w:rsid w:val="62A50FBD"/>
    <w:rsid w:val="62A82395"/>
    <w:rsid w:val="62A92DB6"/>
    <w:rsid w:val="62BF25BD"/>
    <w:rsid w:val="63241E54"/>
    <w:rsid w:val="632739A5"/>
    <w:rsid w:val="63304B00"/>
    <w:rsid w:val="63682F12"/>
    <w:rsid w:val="638842A0"/>
    <w:rsid w:val="63995681"/>
    <w:rsid w:val="63A90DB6"/>
    <w:rsid w:val="63D2711F"/>
    <w:rsid w:val="63D528B3"/>
    <w:rsid w:val="63DF65A0"/>
    <w:rsid w:val="64092544"/>
    <w:rsid w:val="641A55BD"/>
    <w:rsid w:val="642725B8"/>
    <w:rsid w:val="648011C7"/>
    <w:rsid w:val="64D840C9"/>
    <w:rsid w:val="64E675D2"/>
    <w:rsid w:val="65154758"/>
    <w:rsid w:val="652B3C23"/>
    <w:rsid w:val="65784C0C"/>
    <w:rsid w:val="65F62B95"/>
    <w:rsid w:val="664A4646"/>
    <w:rsid w:val="66811B16"/>
    <w:rsid w:val="669B70D5"/>
    <w:rsid w:val="66B85FD4"/>
    <w:rsid w:val="66C16402"/>
    <w:rsid w:val="66DA647B"/>
    <w:rsid w:val="66F63507"/>
    <w:rsid w:val="67205D3D"/>
    <w:rsid w:val="673204AE"/>
    <w:rsid w:val="674951B9"/>
    <w:rsid w:val="67524C90"/>
    <w:rsid w:val="67820DF5"/>
    <w:rsid w:val="67976D94"/>
    <w:rsid w:val="67AF3A3B"/>
    <w:rsid w:val="67CF12F8"/>
    <w:rsid w:val="67D507DB"/>
    <w:rsid w:val="67DC3578"/>
    <w:rsid w:val="67E01965"/>
    <w:rsid w:val="67ED646A"/>
    <w:rsid w:val="67EE73D9"/>
    <w:rsid w:val="68173911"/>
    <w:rsid w:val="68280203"/>
    <w:rsid w:val="683C6A30"/>
    <w:rsid w:val="68994EF5"/>
    <w:rsid w:val="68AC03AE"/>
    <w:rsid w:val="68D644D8"/>
    <w:rsid w:val="68E04D9A"/>
    <w:rsid w:val="68EC0F6F"/>
    <w:rsid w:val="69735746"/>
    <w:rsid w:val="697513B8"/>
    <w:rsid w:val="698C0FFE"/>
    <w:rsid w:val="69F2781C"/>
    <w:rsid w:val="69FD156E"/>
    <w:rsid w:val="6A0017A7"/>
    <w:rsid w:val="6A372F69"/>
    <w:rsid w:val="6A47257B"/>
    <w:rsid w:val="6A557396"/>
    <w:rsid w:val="6A5A1C36"/>
    <w:rsid w:val="6A7240F8"/>
    <w:rsid w:val="6A743E08"/>
    <w:rsid w:val="6A926218"/>
    <w:rsid w:val="6ADC28A1"/>
    <w:rsid w:val="6AEF1B83"/>
    <w:rsid w:val="6B0F112F"/>
    <w:rsid w:val="6B1B5E28"/>
    <w:rsid w:val="6B224D15"/>
    <w:rsid w:val="6B573662"/>
    <w:rsid w:val="6B915F97"/>
    <w:rsid w:val="6B9513B6"/>
    <w:rsid w:val="6BAF63C7"/>
    <w:rsid w:val="6BD03EF9"/>
    <w:rsid w:val="6BD72654"/>
    <w:rsid w:val="6BF41359"/>
    <w:rsid w:val="6CAB51F7"/>
    <w:rsid w:val="6CD6243D"/>
    <w:rsid w:val="6CEA5656"/>
    <w:rsid w:val="6D2B256C"/>
    <w:rsid w:val="6E506E1D"/>
    <w:rsid w:val="6E514D05"/>
    <w:rsid w:val="6E803607"/>
    <w:rsid w:val="6E8923E3"/>
    <w:rsid w:val="6F185848"/>
    <w:rsid w:val="6F204685"/>
    <w:rsid w:val="6F413681"/>
    <w:rsid w:val="6F421A91"/>
    <w:rsid w:val="6F5540BB"/>
    <w:rsid w:val="6F7E492B"/>
    <w:rsid w:val="6F91644F"/>
    <w:rsid w:val="6F9666DC"/>
    <w:rsid w:val="6FA5442A"/>
    <w:rsid w:val="6FAF512A"/>
    <w:rsid w:val="6FBACBBF"/>
    <w:rsid w:val="6FD41A3B"/>
    <w:rsid w:val="6FEF06E7"/>
    <w:rsid w:val="6FF87BF4"/>
    <w:rsid w:val="6FFB306E"/>
    <w:rsid w:val="70074E3A"/>
    <w:rsid w:val="70373EFA"/>
    <w:rsid w:val="70640F73"/>
    <w:rsid w:val="70A03AD7"/>
    <w:rsid w:val="70CE278C"/>
    <w:rsid w:val="70D03FB0"/>
    <w:rsid w:val="70DA4C22"/>
    <w:rsid w:val="710E1D41"/>
    <w:rsid w:val="711D2597"/>
    <w:rsid w:val="713D6C97"/>
    <w:rsid w:val="719C04FB"/>
    <w:rsid w:val="71B549E2"/>
    <w:rsid w:val="71CF3736"/>
    <w:rsid w:val="71DB1B20"/>
    <w:rsid w:val="723F531A"/>
    <w:rsid w:val="726A21AA"/>
    <w:rsid w:val="7275252F"/>
    <w:rsid w:val="72A35B8D"/>
    <w:rsid w:val="72AA1C03"/>
    <w:rsid w:val="72BE78A3"/>
    <w:rsid w:val="72C576FD"/>
    <w:rsid w:val="72F23936"/>
    <w:rsid w:val="731C33B7"/>
    <w:rsid w:val="731D10C9"/>
    <w:rsid w:val="73EF6311"/>
    <w:rsid w:val="745148D6"/>
    <w:rsid w:val="745F3BD7"/>
    <w:rsid w:val="748D12FC"/>
    <w:rsid w:val="74A71CF1"/>
    <w:rsid w:val="74B246CC"/>
    <w:rsid w:val="74D4798D"/>
    <w:rsid w:val="74FB76A4"/>
    <w:rsid w:val="74FFBC61"/>
    <w:rsid w:val="751F4219"/>
    <w:rsid w:val="752B0232"/>
    <w:rsid w:val="75480FCE"/>
    <w:rsid w:val="7568637B"/>
    <w:rsid w:val="75720FA8"/>
    <w:rsid w:val="758D7C1A"/>
    <w:rsid w:val="75F05A28"/>
    <w:rsid w:val="75F909F6"/>
    <w:rsid w:val="75FC5A58"/>
    <w:rsid w:val="76236D07"/>
    <w:rsid w:val="763028C3"/>
    <w:rsid w:val="76595729"/>
    <w:rsid w:val="765F26F4"/>
    <w:rsid w:val="766E58ED"/>
    <w:rsid w:val="76C6143C"/>
    <w:rsid w:val="76FF39E7"/>
    <w:rsid w:val="770135FE"/>
    <w:rsid w:val="770D58B6"/>
    <w:rsid w:val="77303FAB"/>
    <w:rsid w:val="77313777"/>
    <w:rsid w:val="775FA2BC"/>
    <w:rsid w:val="77661AB4"/>
    <w:rsid w:val="777720E2"/>
    <w:rsid w:val="777B38C8"/>
    <w:rsid w:val="777C49B9"/>
    <w:rsid w:val="777FFB82"/>
    <w:rsid w:val="77835828"/>
    <w:rsid w:val="77A2334D"/>
    <w:rsid w:val="77CE68DB"/>
    <w:rsid w:val="77D74E0B"/>
    <w:rsid w:val="77F92235"/>
    <w:rsid w:val="77FDCBBA"/>
    <w:rsid w:val="78146BC1"/>
    <w:rsid w:val="783D15CE"/>
    <w:rsid w:val="789A4C1D"/>
    <w:rsid w:val="789C44EB"/>
    <w:rsid w:val="78A019B1"/>
    <w:rsid w:val="78BD6D0C"/>
    <w:rsid w:val="78C67C65"/>
    <w:rsid w:val="78CA5B8B"/>
    <w:rsid w:val="79323C14"/>
    <w:rsid w:val="79A0146D"/>
    <w:rsid w:val="79E9798D"/>
    <w:rsid w:val="79FE6EE1"/>
    <w:rsid w:val="7A0802FF"/>
    <w:rsid w:val="7B291E15"/>
    <w:rsid w:val="7B5B0730"/>
    <w:rsid w:val="7B7B6CE0"/>
    <w:rsid w:val="7BA55BB1"/>
    <w:rsid w:val="7BC70177"/>
    <w:rsid w:val="7BFA8E20"/>
    <w:rsid w:val="7C153323"/>
    <w:rsid w:val="7C3603B3"/>
    <w:rsid w:val="7C6B3C3B"/>
    <w:rsid w:val="7C8717F8"/>
    <w:rsid w:val="7C8A0E08"/>
    <w:rsid w:val="7C942616"/>
    <w:rsid w:val="7C9837D3"/>
    <w:rsid w:val="7CB330BB"/>
    <w:rsid w:val="7D3338A8"/>
    <w:rsid w:val="7D3955E8"/>
    <w:rsid w:val="7D574541"/>
    <w:rsid w:val="7D6E789D"/>
    <w:rsid w:val="7DB01320"/>
    <w:rsid w:val="7DEE6AE3"/>
    <w:rsid w:val="7DEF71ED"/>
    <w:rsid w:val="7E1E7F1F"/>
    <w:rsid w:val="7E350C81"/>
    <w:rsid w:val="7E371C7D"/>
    <w:rsid w:val="7E527F3A"/>
    <w:rsid w:val="7E5F3C9F"/>
    <w:rsid w:val="7E7149D0"/>
    <w:rsid w:val="7E8A076A"/>
    <w:rsid w:val="7EAF6DC9"/>
    <w:rsid w:val="7ED00AED"/>
    <w:rsid w:val="7EE9721C"/>
    <w:rsid w:val="7EFFB30B"/>
    <w:rsid w:val="7F01107F"/>
    <w:rsid w:val="7F5B5141"/>
    <w:rsid w:val="7F5C1DEB"/>
    <w:rsid w:val="7FA81E2E"/>
    <w:rsid w:val="7FC93443"/>
    <w:rsid w:val="7FE231CE"/>
    <w:rsid w:val="7FEA0427"/>
    <w:rsid w:val="7FED0C48"/>
    <w:rsid w:val="7FFE96CD"/>
    <w:rsid w:val="9F3C4913"/>
    <w:rsid w:val="9FFB632B"/>
    <w:rsid w:val="AFA74A0D"/>
    <w:rsid w:val="B37F762F"/>
    <w:rsid w:val="BA7B23C6"/>
    <w:rsid w:val="BDBFC7C9"/>
    <w:rsid w:val="BF5FBC07"/>
    <w:rsid w:val="BF6DA51A"/>
    <w:rsid w:val="BFEFF7F8"/>
    <w:rsid w:val="CEC99344"/>
    <w:rsid w:val="CF7D8203"/>
    <w:rsid w:val="DD398A6E"/>
    <w:rsid w:val="DEB7AD7B"/>
    <w:rsid w:val="DEFE3155"/>
    <w:rsid w:val="DFEF8360"/>
    <w:rsid w:val="DFF8C481"/>
    <w:rsid w:val="EFFF7595"/>
    <w:rsid w:val="F1E9D6A2"/>
    <w:rsid w:val="F2FB5574"/>
    <w:rsid w:val="F37FBEAB"/>
    <w:rsid w:val="F5BCD7AB"/>
    <w:rsid w:val="F796B5E9"/>
    <w:rsid w:val="F7C64815"/>
    <w:rsid w:val="F8C76588"/>
    <w:rsid w:val="FB5F8DC7"/>
    <w:rsid w:val="FBB7A66D"/>
    <w:rsid w:val="FBBFE20F"/>
    <w:rsid w:val="FD5BA2FD"/>
    <w:rsid w:val="FDFE1FB2"/>
    <w:rsid w:val="FDFF946E"/>
    <w:rsid w:val="FE5C9481"/>
    <w:rsid w:val="FF5FBA42"/>
    <w:rsid w:val="FF76DAD1"/>
    <w:rsid w:val="FF7DC65E"/>
    <w:rsid w:val="FFB4F5BA"/>
    <w:rsid w:val="FFE8F46D"/>
    <w:rsid w:val="FFEF2E60"/>
    <w:rsid w:val="FFFF8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4">
    <w:name w:val="heading 2"/>
    <w:basedOn w:val="1"/>
    <w:next w:val="1"/>
    <w:link w:val="39"/>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5">
    <w:name w:val="heading 3"/>
    <w:basedOn w:val="1"/>
    <w:next w:val="1"/>
    <w:link w:val="40"/>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41"/>
    <w:qFormat/>
    <w:uiPriority w:val="0"/>
    <w:pPr>
      <w:keepNext/>
      <w:keepLines/>
      <w:numPr>
        <w:ilvl w:val="3"/>
        <w:numId w:val="1"/>
      </w:numPr>
      <w:spacing w:before="280" w:after="290" w:line="376" w:lineRule="auto"/>
      <w:outlineLvl w:val="3"/>
    </w:pPr>
    <w:rPr>
      <w:rFonts w:ascii="Calibri Light" w:hAnsi="Calibri Light"/>
      <w:b/>
      <w:bCs/>
      <w:sz w:val="28"/>
      <w:szCs w:val="28"/>
    </w:rPr>
  </w:style>
  <w:style w:type="paragraph" w:styleId="7">
    <w:name w:val="heading 5"/>
    <w:basedOn w:val="1"/>
    <w:next w:val="1"/>
    <w:link w:val="4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43"/>
    <w:qFormat/>
    <w:uiPriority w:val="0"/>
    <w:pPr>
      <w:keepNext/>
      <w:keepLines/>
      <w:numPr>
        <w:ilvl w:val="5"/>
        <w:numId w:val="1"/>
      </w:numPr>
      <w:spacing w:before="240" w:after="64" w:line="320" w:lineRule="auto"/>
      <w:outlineLvl w:val="5"/>
    </w:pPr>
    <w:rPr>
      <w:rFonts w:ascii="Calibri Light" w:hAnsi="Calibri Light"/>
      <w:b/>
      <w:bCs/>
      <w:sz w:val="24"/>
      <w:szCs w:val="24"/>
    </w:rPr>
  </w:style>
  <w:style w:type="paragraph" w:styleId="9">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45"/>
    <w:qFormat/>
    <w:uiPriority w:val="0"/>
    <w:pPr>
      <w:keepNext/>
      <w:keepLines/>
      <w:numPr>
        <w:ilvl w:val="7"/>
        <w:numId w:val="1"/>
      </w:numPr>
      <w:spacing w:before="240" w:after="64" w:line="320" w:lineRule="auto"/>
      <w:outlineLvl w:val="7"/>
    </w:pPr>
    <w:rPr>
      <w:rFonts w:ascii="Calibri Light" w:hAnsi="Calibri Light"/>
      <w:sz w:val="24"/>
      <w:szCs w:val="24"/>
    </w:rPr>
  </w:style>
  <w:style w:type="paragraph" w:styleId="11">
    <w:name w:val="heading 9"/>
    <w:basedOn w:val="1"/>
    <w:next w:val="1"/>
    <w:link w:val="46"/>
    <w:qFormat/>
    <w:uiPriority w:val="0"/>
    <w:pPr>
      <w:keepNext/>
      <w:keepLines/>
      <w:numPr>
        <w:ilvl w:val="8"/>
        <w:numId w:val="1"/>
      </w:numPr>
      <w:spacing w:before="240" w:after="64" w:line="320" w:lineRule="auto"/>
      <w:outlineLvl w:val="8"/>
    </w:pPr>
    <w:rPr>
      <w:rFonts w:ascii="Calibri Light" w:hAnsi="Calibri Light"/>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60" w:lineRule="exact"/>
    </w:pPr>
    <w:rPr>
      <w:rFonts w:ascii="汉鼎简楷体" w:hAnsi="宋体" w:eastAsia="汉鼎简楷体"/>
      <w:b/>
      <w:spacing w:val="4"/>
      <w:sz w:val="24"/>
    </w:rPr>
  </w:style>
  <w:style w:type="paragraph" w:styleId="12">
    <w:name w:val="Normal Indent"/>
    <w:basedOn w:val="1"/>
    <w:link w:val="47"/>
    <w:qFormat/>
    <w:uiPriority w:val="0"/>
    <w:pPr>
      <w:autoSpaceDE w:val="0"/>
      <w:autoSpaceDN w:val="0"/>
      <w:adjustRightInd w:val="0"/>
      <w:ind w:firstLine="420"/>
      <w:jc w:val="left"/>
    </w:pPr>
    <w:rPr>
      <w:rFonts w:ascii="宋体"/>
      <w:kern w:val="0"/>
      <w:sz w:val="24"/>
    </w:rPr>
  </w:style>
  <w:style w:type="paragraph" w:styleId="13">
    <w:name w:val="List Bullet"/>
    <w:basedOn w:val="1"/>
    <w:unhideWhenUsed/>
    <w:qFormat/>
    <w:uiPriority w:val="0"/>
    <w:pPr>
      <w:numPr>
        <w:ilvl w:val="2"/>
        <w:numId w:val="2"/>
      </w:numPr>
      <w:tabs>
        <w:tab w:val="left" w:pos="360"/>
      </w:tabs>
    </w:pPr>
    <w:rPr>
      <w:szCs w:val="24"/>
    </w:rPr>
  </w:style>
  <w:style w:type="paragraph" w:styleId="14">
    <w:name w:val="Document Map"/>
    <w:basedOn w:val="1"/>
    <w:link w:val="48"/>
    <w:qFormat/>
    <w:uiPriority w:val="0"/>
    <w:rPr>
      <w:rFonts w:ascii="宋体"/>
      <w:sz w:val="18"/>
      <w:szCs w:val="18"/>
    </w:rPr>
  </w:style>
  <w:style w:type="paragraph" w:styleId="15">
    <w:name w:val="annotation text"/>
    <w:basedOn w:val="1"/>
    <w:link w:val="49"/>
    <w:qFormat/>
    <w:uiPriority w:val="0"/>
    <w:pPr>
      <w:jc w:val="left"/>
    </w:pPr>
  </w:style>
  <w:style w:type="paragraph" w:styleId="16">
    <w:name w:val="Body Text Indent"/>
    <w:basedOn w:val="1"/>
    <w:link w:val="50"/>
    <w:qFormat/>
    <w:uiPriority w:val="0"/>
    <w:pPr>
      <w:ind w:firstLine="540"/>
    </w:pPr>
    <w:rPr>
      <w:sz w:val="28"/>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8">
    <w:name w:val="Plain Text"/>
    <w:basedOn w:val="1"/>
    <w:link w:val="51"/>
    <w:qFormat/>
    <w:uiPriority w:val="0"/>
    <w:rPr>
      <w:rFonts w:ascii="宋体" w:hAnsi="Courier New" w:cs="Courier New"/>
      <w:szCs w:val="21"/>
    </w:rPr>
  </w:style>
  <w:style w:type="paragraph" w:styleId="19">
    <w:name w:val="Date"/>
    <w:basedOn w:val="1"/>
    <w:next w:val="1"/>
    <w:link w:val="52"/>
    <w:qFormat/>
    <w:uiPriority w:val="0"/>
    <w:rPr>
      <w:sz w:val="28"/>
    </w:rPr>
  </w:style>
  <w:style w:type="paragraph" w:styleId="20">
    <w:name w:val="Body Text Indent 2"/>
    <w:basedOn w:val="1"/>
    <w:link w:val="53"/>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54"/>
    <w:qFormat/>
    <w:uiPriority w:val="99"/>
    <w:pPr>
      <w:tabs>
        <w:tab w:val="center" w:pos="4153"/>
        <w:tab w:val="right" w:pos="8306"/>
      </w:tabs>
      <w:snapToGrid w:val="0"/>
      <w:jc w:val="left"/>
    </w:pPr>
    <w:rPr>
      <w:sz w:val="18"/>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tabs>
        <w:tab w:val="right" w:leader="dot" w:pos="7655"/>
      </w:tabs>
      <w:spacing w:before="120" w:after="120"/>
      <w:ind w:left="567" w:right="84"/>
      <w:jc w:val="left"/>
    </w:pPr>
    <w:rPr>
      <w:b/>
      <w:caps/>
      <w:sz w:val="30"/>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6">
    <w:name w:val="Normal (Web)"/>
    <w:basedOn w:val="1"/>
    <w:qFormat/>
    <w:uiPriority w:val="0"/>
    <w:pPr>
      <w:jc w:val="left"/>
    </w:pPr>
    <w:rPr>
      <w:kern w:val="0"/>
      <w:sz w:val="24"/>
    </w:rPr>
  </w:style>
  <w:style w:type="paragraph" w:styleId="27">
    <w:name w:val="annotation subject"/>
    <w:basedOn w:val="15"/>
    <w:next w:val="15"/>
    <w:link w:val="56"/>
    <w:qFormat/>
    <w:uiPriority w:val="0"/>
    <w:rPr>
      <w:b/>
      <w:bCs/>
    </w:rPr>
  </w:style>
  <w:style w:type="paragraph" w:styleId="28">
    <w:name w:val="Body Text First Indent"/>
    <w:basedOn w:val="2"/>
    <w:qFormat/>
    <w:uiPriority w:val="0"/>
    <w:pPr>
      <w:spacing w:line="360" w:lineRule="auto"/>
      <w:ind w:firstLine="420"/>
    </w:pPr>
    <w:rPr>
      <w:rFonts w:ascii="宋体" w:hAnsi="宋体" w:eastAsia="宋体" w:cs="Times New Roman"/>
      <w:sz w:val="24"/>
    </w:rPr>
  </w:style>
  <w:style w:type="paragraph" w:styleId="29">
    <w:name w:val="Body Text First Indent 2"/>
    <w:basedOn w:val="16"/>
    <w:qFormat/>
    <w:uiPriority w:val="0"/>
    <w:pPr>
      <w:snapToGrid/>
      <w:spacing w:after="120"/>
      <w:ind w:left="420" w:leftChars="200" w:firstLine="420" w:firstLineChars="2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Style1"/>
    <w:basedOn w:val="1"/>
    <w:qFormat/>
    <w:uiPriority w:val="0"/>
    <w:pPr>
      <w:widowControl/>
    </w:pPr>
    <w:rPr>
      <w:spacing w:val="-3"/>
    </w:rPr>
  </w:style>
  <w:style w:type="character" w:customStyle="1" w:styleId="39">
    <w:name w:val="标题 2 字符"/>
    <w:link w:val="4"/>
    <w:qFormat/>
    <w:uiPriority w:val="0"/>
    <w:rPr>
      <w:rFonts w:ascii="Calibri Light" w:hAnsi="Calibri Light" w:eastAsia="宋体" w:cs="Times New Roman"/>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semiHidden/>
    <w:qFormat/>
    <w:uiPriority w:val="0"/>
    <w:rPr>
      <w:rFonts w:ascii="Calibri Light" w:hAnsi="Calibri Light" w:eastAsia="宋体" w:cs="Times New Roman"/>
      <w:b/>
      <w:bCs/>
      <w:kern w:val="2"/>
      <w:sz w:val="28"/>
      <w:szCs w:val="28"/>
    </w:rPr>
  </w:style>
  <w:style w:type="character" w:customStyle="1" w:styleId="42">
    <w:name w:val="标题 5 字符"/>
    <w:link w:val="7"/>
    <w:semiHidden/>
    <w:qFormat/>
    <w:uiPriority w:val="0"/>
    <w:rPr>
      <w:b/>
      <w:bCs/>
      <w:kern w:val="2"/>
      <w:sz w:val="28"/>
      <w:szCs w:val="28"/>
    </w:rPr>
  </w:style>
  <w:style w:type="character" w:customStyle="1" w:styleId="43">
    <w:name w:val="标题 6 字符"/>
    <w:link w:val="8"/>
    <w:semiHidden/>
    <w:qFormat/>
    <w:uiPriority w:val="0"/>
    <w:rPr>
      <w:rFonts w:ascii="Calibri Light" w:hAnsi="Calibri Light" w:eastAsia="宋体" w:cs="Times New Roman"/>
      <w:b/>
      <w:bCs/>
      <w:kern w:val="2"/>
      <w:sz w:val="24"/>
      <w:szCs w:val="24"/>
    </w:rPr>
  </w:style>
  <w:style w:type="character" w:customStyle="1" w:styleId="44">
    <w:name w:val="标题 7 字符"/>
    <w:link w:val="9"/>
    <w:semiHidden/>
    <w:qFormat/>
    <w:uiPriority w:val="0"/>
    <w:rPr>
      <w:b/>
      <w:bCs/>
      <w:kern w:val="2"/>
      <w:sz w:val="24"/>
      <w:szCs w:val="24"/>
    </w:rPr>
  </w:style>
  <w:style w:type="character" w:customStyle="1" w:styleId="45">
    <w:name w:val="标题 8 字符"/>
    <w:link w:val="10"/>
    <w:semiHidden/>
    <w:qFormat/>
    <w:uiPriority w:val="0"/>
    <w:rPr>
      <w:rFonts w:ascii="Calibri Light" w:hAnsi="Calibri Light" w:eastAsia="宋体" w:cs="Times New Roman"/>
      <w:kern w:val="2"/>
      <w:sz w:val="24"/>
      <w:szCs w:val="24"/>
    </w:rPr>
  </w:style>
  <w:style w:type="character" w:customStyle="1" w:styleId="46">
    <w:name w:val="标题 9 字符"/>
    <w:link w:val="11"/>
    <w:semiHidden/>
    <w:qFormat/>
    <w:uiPriority w:val="0"/>
    <w:rPr>
      <w:rFonts w:ascii="Calibri Light" w:hAnsi="Calibri Light" w:eastAsia="宋体" w:cs="Times New Roman"/>
      <w:kern w:val="2"/>
      <w:sz w:val="21"/>
      <w:szCs w:val="21"/>
    </w:rPr>
  </w:style>
  <w:style w:type="character" w:customStyle="1" w:styleId="47">
    <w:name w:val="正文缩进 字符"/>
    <w:link w:val="12"/>
    <w:qFormat/>
    <w:uiPriority w:val="0"/>
    <w:rPr>
      <w:rFonts w:ascii="宋体"/>
      <w:sz w:val="24"/>
    </w:rPr>
  </w:style>
  <w:style w:type="character" w:customStyle="1" w:styleId="48">
    <w:name w:val="文档结构图 字符"/>
    <w:link w:val="14"/>
    <w:qFormat/>
    <w:uiPriority w:val="0"/>
    <w:rPr>
      <w:rFonts w:ascii="宋体"/>
      <w:kern w:val="2"/>
      <w:sz w:val="18"/>
      <w:szCs w:val="18"/>
    </w:rPr>
  </w:style>
  <w:style w:type="character" w:customStyle="1" w:styleId="49">
    <w:name w:val="批注文字 字符"/>
    <w:link w:val="15"/>
    <w:qFormat/>
    <w:uiPriority w:val="0"/>
    <w:rPr>
      <w:kern w:val="2"/>
      <w:sz w:val="21"/>
    </w:rPr>
  </w:style>
  <w:style w:type="character" w:customStyle="1" w:styleId="50">
    <w:name w:val="正文文本缩进 字符"/>
    <w:link w:val="16"/>
    <w:qFormat/>
    <w:uiPriority w:val="0"/>
    <w:rPr>
      <w:kern w:val="2"/>
      <w:sz w:val="28"/>
    </w:rPr>
  </w:style>
  <w:style w:type="character" w:customStyle="1" w:styleId="51">
    <w:name w:val="纯文本 字符1"/>
    <w:link w:val="18"/>
    <w:qFormat/>
    <w:uiPriority w:val="0"/>
    <w:rPr>
      <w:rFonts w:ascii="宋体" w:hAnsi="Courier New" w:cs="Courier New"/>
      <w:kern w:val="2"/>
      <w:sz w:val="21"/>
      <w:szCs w:val="21"/>
    </w:rPr>
  </w:style>
  <w:style w:type="character" w:customStyle="1" w:styleId="52">
    <w:name w:val="日期 字符"/>
    <w:link w:val="19"/>
    <w:qFormat/>
    <w:uiPriority w:val="0"/>
    <w:rPr>
      <w:kern w:val="2"/>
      <w:sz w:val="28"/>
    </w:rPr>
  </w:style>
  <w:style w:type="character" w:customStyle="1" w:styleId="53">
    <w:name w:val="正文文本缩进 2 字符"/>
    <w:link w:val="20"/>
    <w:qFormat/>
    <w:uiPriority w:val="0"/>
    <w:rPr>
      <w:kern w:val="2"/>
      <w:sz w:val="21"/>
    </w:rPr>
  </w:style>
  <w:style w:type="character" w:customStyle="1" w:styleId="54">
    <w:name w:val="页脚 字符1"/>
    <w:link w:val="22"/>
    <w:qFormat/>
    <w:uiPriority w:val="99"/>
    <w:rPr>
      <w:kern w:val="2"/>
      <w:sz w:val="18"/>
    </w:rPr>
  </w:style>
  <w:style w:type="character" w:customStyle="1" w:styleId="55">
    <w:name w:val="页眉 字符"/>
    <w:link w:val="23"/>
    <w:qFormat/>
    <w:uiPriority w:val="0"/>
    <w:rPr>
      <w:kern w:val="2"/>
      <w:sz w:val="18"/>
    </w:rPr>
  </w:style>
  <w:style w:type="character" w:customStyle="1" w:styleId="56">
    <w:name w:val="批注主题 字符"/>
    <w:link w:val="27"/>
    <w:qFormat/>
    <w:uiPriority w:val="0"/>
    <w:rPr>
      <w:b/>
      <w:bCs/>
      <w:kern w:val="2"/>
      <w:sz w:val="21"/>
    </w:rPr>
  </w:style>
  <w:style w:type="paragraph" w:customStyle="1" w:styleId="57">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BodyText"/>
    <w:basedOn w:val="1"/>
    <w:next w:val="1"/>
    <w:qFormat/>
    <w:uiPriority w:val="0"/>
    <w:pPr>
      <w:spacing w:after="120"/>
      <w:textAlignment w:val="baseline"/>
    </w:pPr>
    <w:rPr>
      <w:rFonts w:ascii="宋体" w:hAnsi="宋体" w:eastAsia="仿宋"/>
      <w:kern w:val="0"/>
      <w:sz w:val="24"/>
      <w:szCs w:val="21"/>
    </w:rPr>
  </w:style>
  <w:style w:type="character" w:customStyle="1" w:styleId="59">
    <w:name w:val="纯文本 Char"/>
    <w:qFormat/>
    <w:uiPriority w:val="0"/>
    <w:rPr>
      <w:rFonts w:ascii="宋体" w:hAnsi="Courier New" w:cs="Courier New"/>
      <w:kern w:val="2"/>
      <w:sz w:val="21"/>
      <w:szCs w:val="21"/>
    </w:rPr>
  </w:style>
  <w:style w:type="character" w:customStyle="1" w:styleId="60">
    <w:name w:val="页脚 字符"/>
    <w:qFormat/>
    <w:uiPriority w:val="99"/>
  </w:style>
  <w:style w:type="character" w:customStyle="1" w:styleId="61">
    <w:name w:val="RDGStyle"/>
    <w:qFormat/>
    <w:uiPriority w:val="0"/>
    <w:rPr>
      <w:bCs/>
      <w:color w:val="000000"/>
      <w:sz w:val="36"/>
      <w:szCs w:val="36"/>
    </w:rPr>
  </w:style>
  <w:style w:type="character" w:customStyle="1" w:styleId="62">
    <w:name w:val="纯文本 字符"/>
    <w:qFormat/>
    <w:uiPriority w:val="0"/>
    <w:rPr>
      <w:rFonts w:ascii="宋体" w:hAnsi="Courier New"/>
      <w:kern w:val="2"/>
      <w:sz w:val="21"/>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表格样式 2"/>
    <w:qFormat/>
    <w:uiPriority w:val="0"/>
    <w:pPr>
      <w:spacing w:line="276" w:lineRule="auto"/>
      <w:ind w:left="-2" w:leftChars="-6" w:hanging="11" w:hangingChars="6"/>
    </w:pPr>
    <w:rPr>
      <w:rFonts w:ascii="宋体" w:hAnsi="宋体" w:eastAsia="宋体" w:cs="微软雅黑"/>
      <w:color w:val="000000"/>
      <w:sz w:val="18"/>
      <w:szCs w:val="18"/>
      <w:lang w:val="zh-Hans" w:eastAsia="zh-CN" w:bidi="ar-SA"/>
    </w:rPr>
  </w:style>
  <w:style w:type="paragraph" w:customStyle="1" w:styleId="69">
    <w:name w:val="样式 标题 3头H3l3CT第二层条第三层论文标题 21.1.1 标题 3头 Char标题 3 Char C..."/>
    <w:basedOn w:val="5"/>
    <w:qFormat/>
    <w:uiPriority w:val="0"/>
    <w:pPr>
      <w:numPr>
        <w:ilvl w:val="4"/>
        <w:numId w:val="2"/>
      </w:numPr>
      <w:tabs>
        <w:tab w:val="left" w:pos="1260"/>
        <w:tab w:val="left" w:pos="4320"/>
        <w:tab w:val="clear" w:pos="2100"/>
      </w:tabs>
      <w:autoSpaceDE w:val="0"/>
      <w:autoSpaceDN w:val="0"/>
      <w:adjustRightInd w:val="0"/>
      <w:spacing w:before="120" w:after="0" w:line="360" w:lineRule="auto"/>
      <w:ind w:left="1260"/>
      <w:jc w:val="left"/>
    </w:pPr>
    <w:rPr>
      <w:bCs w:val="0"/>
      <w:sz w:val="24"/>
      <w:szCs w:val="24"/>
    </w:rPr>
  </w:style>
  <w:style w:type="paragraph" w:customStyle="1" w:styleId="7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2">
    <w:name w:val="xl81"/>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74">
    <w:name w:val="List Paragraph"/>
    <w:basedOn w:val="1"/>
    <w:qFormat/>
    <w:uiPriority w:val="34"/>
    <w:pPr>
      <w:ind w:firstLine="420" w:firstLineChars="200"/>
    </w:pPr>
    <w:rPr>
      <w:rFonts w:ascii="Calibri" w:hAnsi="Calibri" w:eastAsia="宋体" w:cs="Times New Roman"/>
      <w:szCs w:val="22"/>
    </w:rPr>
  </w:style>
  <w:style w:type="paragraph" w:customStyle="1" w:styleId="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9">
    <w:name w:val="默认"/>
    <w:qFormat/>
    <w:uiPriority w:val="0"/>
    <w:rPr>
      <w:rFonts w:ascii="Arial Unicode MS" w:hAnsi="Arial Unicode MS" w:eastAsia="Helvetica" w:cs="Arial Unicode MS"/>
      <w:color w:val="000000"/>
      <w:sz w:val="22"/>
      <w:szCs w:val="22"/>
      <w:lang w:val="zh-Hans" w:eastAsia="zh-Hans" w:bidi="ar-SA"/>
    </w:rPr>
  </w:style>
  <w:style w:type="paragraph" w:customStyle="1" w:styleId="80">
    <w:name w:val="List Paragraph1"/>
    <w:basedOn w:val="1"/>
    <w:qFormat/>
    <w:uiPriority w:val="0"/>
    <w:pPr>
      <w:numPr>
        <w:ilvl w:val="0"/>
        <w:numId w:val="2"/>
      </w:numPr>
      <w:ind w:firstLine="420" w:firstLineChars="200"/>
    </w:pPr>
  </w:style>
  <w:style w:type="paragraph" w:customStyle="1" w:styleId="81">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Char"/>
    <w:basedOn w:val="1"/>
    <w:qFormat/>
    <w:uiPriority w:val="0"/>
    <w:pPr>
      <w:tabs>
        <w:tab w:val="left" w:pos="360"/>
      </w:tabs>
    </w:pPr>
    <w:rPr>
      <w:sz w:val="24"/>
      <w:szCs w:val="24"/>
    </w:rPr>
  </w:style>
  <w:style w:type="paragraph" w:customStyle="1" w:styleId="84">
    <w:name w:val="Paragraph 3"/>
    <w:basedOn w:val="1"/>
    <w:qFormat/>
    <w:uiPriority w:val="0"/>
    <w:pPr>
      <w:widowControl/>
      <w:numPr>
        <w:ilvl w:val="3"/>
        <w:numId w:val="2"/>
      </w:numPr>
      <w:tabs>
        <w:tab w:val="right" w:pos="10296"/>
        <w:tab w:val="clear" w:pos="1680"/>
      </w:tabs>
      <w:spacing w:before="60" w:after="60"/>
      <w:ind w:left="2100"/>
      <w:jc w:val="left"/>
      <w:outlineLvl w:val="4"/>
    </w:pPr>
    <w:rPr>
      <w:rFonts w:ascii="Arial" w:hAnsi="Arial"/>
      <w:kern w:val="0"/>
      <w:sz w:val="20"/>
      <w:lang w:eastAsia="en-US"/>
    </w:rPr>
  </w:style>
  <w:style w:type="paragraph" w:customStyle="1" w:styleId="85">
    <w:name w:val="xl7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表格样式 1"/>
    <w:qFormat/>
    <w:uiPriority w:val="0"/>
    <w:rPr>
      <w:rFonts w:ascii="Arial Unicode MS" w:hAnsi="Arial Unicode MS" w:eastAsia="Arial Unicode MS" w:cs="Arial Unicode MS"/>
      <w:color w:val="000000"/>
      <w:lang w:val="zh-Hans" w:eastAsia="zh-Hans" w:bidi="ar-SA"/>
    </w:rPr>
  </w:style>
  <w:style w:type="paragraph" w:customStyle="1" w:styleId="90">
    <w:name w:val="Char Char Char"/>
    <w:basedOn w:val="1"/>
    <w:qFormat/>
    <w:uiPriority w:val="0"/>
    <w:pPr>
      <w:spacing w:before="120" w:after="120" w:line="360" w:lineRule="auto"/>
      <w:ind w:firstLine="200" w:firstLineChars="200"/>
    </w:pPr>
    <w:rPr>
      <w:rFonts w:ascii="Tahoma" w:hAnsi="Tahoma"/>
      <w:sz w:val="24"/>
    </w:rPr>
  </w:style>
  <w:style w:type="paragraph" w:customStyle="1" w:styleId="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正文 A"/>
    <w:qFormat/>
    <w:uiPriority w:val="0"/>
    <w:rPr>
      <w:rFonts w:ascii="Arial Unicode MS" w:hAnsi="Arial Unicode MS" w:eastAsia="Times New Roman" w:cs="Arial Unicode MS"/>
      <w:color w:val="000000"/>
      <w:sz w:val="24"/>
      <w:szCs w:val="24"/>
      <w:lang w:val="en-US" w:eastAsia="zh-CN" w:bidi="ar-SA"/>
    </w:rPr>
  </w:style>
  <w:style w:type="paragraph" w:customStyle="1" w:styleId="94">
    <w:name w:val="_Style 92"/>
    <w:basedOn w:val="3"/>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95">
    <w:name w:val="标题 5（有编号）（绿盟科技）"/>
    <w:basedOn w:val="1"/>
    <w:next w:val="9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96">
    <w:name w:val="正文（绿盟科技）"/>
    <w:qFormat/>
    <w:uiPriority w:val="0"/>
    <w:pPr>
      <w:spacing w:line="300" w:lineRule="auto"/>
    </w:pPr>
    <w:rPr>
      <w:rFonts w:ascii="Arial" w:hAnsi="Arial" w:eastAsia="楷体_GB2312" w:cs="黑体"/>
      <w:sz w:val="21"/>
      <w:szCs w:val="21"/>
      <w:lang w:val="en-US" w:eastAsia="zh-CN" w:bidi="ar-SA"/>
    </w:rPr>
  </w:style>
  <w:style w:type="paragraph" w:customStyle="1" w:styleId="9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98">
    <w:name w:val="font21"/>
    <w:qFormat/>
    <w:uiPriority w:val="0"/>
    <w:rPr>
      <w:rFonts w:hint="eastAsia" w:ascii="宋体" w:hAnsi="宋体" w:eastAsia="宋体" w:cs="宋体"/>
      <w:color w:val="000000"/>
      <w:sz w:val="20"/>
      <w:szCs w:val="20"/>
      <w:u w:val="none"/>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font51"/>
    <w:qFormat/>
    <w:uiPriority w:val="0"/>
    <w:rPr>
      <w:rFonts w:ascii="Calibri" w:hAnsi="Calibri" w:cs="Calibri"/>
      <w:color w:val="000000"/>
      <w:sz w:val="20"/>
      <w:szCs w:val="20"/>
      <w:u w:val="none"/>
    </w:rPr>
  </w:style>
  <w:style w:type="character" w:customStyle="1" w:styleId="101">
    <w:name w:val="font01"/>
    <w:qFormat/>
    <w:uiPriority w:val="0"/>
    <w:rPr>
      <w:rFonts w:hint="eastAsia" w:ascii="宋体" w:hAnsi="宋体" w:eastAsia="宋体" w:cs="宋体"/>
      <w:color w:val="000000"/>
      <w:sz w:val="20"/>
      <w:szCs w:val="20"/>
      <w:u w:val="none"/>
    </w:rPr>
  </w:style>
  <w:style w:type="paragraph" w:customStyle="1" w:styleId="102">
    <w:name w:val="Normal_1_1"/>
    <w:qFormat/>
    <w:uiPriority w:val="0"/>
    <w:pPr>
      <w:widowControl w:val="0"/>
      <w:jc w:val="both"/>
    </w:pPr>
    <w:rPr>
      <w:rFonts w:ascii="Times New Roman" w:hAnsi="Times New Roman" w:eastAsia="宋体" w:cs="Times New Roman"/>
      <w:lang w:val="en-US" w:eastAsia="zh-CN" w:bidi="ar-SA"/>
    </w:rPr>
  </w:style>
  <w:style w:type="paragraph" w:customStyle="1" w:styleId="103">
    <w:name w:val="Table Text"/>
    <w:basedOn w:val="1"/>
    <w:semiHidden/>
    <w:qFormat/>
    <w:uiPriority w:val="0"/>
    <w:rPr>
      <w:rFonts w:ascii="宋体" w:hAnsi="宋体" w:eastAsia="宋体" w:cs="宋体"/>
      <w:sz w:val="19"/>
      <w:szCs w:val="19"/>
      <w:lang w:val="en-US" w:eastAsia="en-US" w:bidi="ar-SA"/>
    </w:rPr>
  </w:style>
  <w:style w:type="table" w:customStyle="1" w:styleId="10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0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SA"/>
    </w:rPr>
  </w:style>
  <w:style w:type="character" w:customStyle="1" w:styleId="106">
    <w:name w:val="fulltext-wrap_navtiao"/>
    <w:basedOn w:val="3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4545</Words>
  <Characters>4815</Characters>
  <Lines>233</Lines>
  <Paragraphs>65</Paragraphs>
  <TotalTime>44</TotalTime>
  <ScaleCrop>false</ScaleCrop>
  <LinksUpToDate>false</LinksUpToDate>
  <CharactersWithSpaces>4978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2022-04-23T23:10:00Z</dcterms:created>
  <dc:creator>Administrator</dc:creator>
  <cp:lastModifiedBy>璐</cp:lastModifiedBy>
  <cp:lastPrinted>2024-10-01T00:11:00Z</cp:lastPrinted>
  <dcterms:modified xsi:type="dcterms:W3CDTF">2025-10-17T08:51:28Z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B968E6E1DDFF4F58A4AE71578AED02C6_13</vt:lpwstr>
  </property>
  <property fmtid="{D5CDD505-2E9C-101B-9397-08002B2CF9AE}" pid="4" name="KSOTemplateDocerSaveRecord">
    <vt:lpwstr>eyJoZGlkIjoiNGYzZTM2ZWY0YWI1YWMwZmVjMzYxNzZkMGZkMWU5YWYiLCJ1c2VySWQiOiI0MjEzOTQ1ODIifQ==</vt:lpwstr>
  </property>
</Properties>
</file>